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360"/>
        <w:jc w:val="center"/>
        <w:rPr/>
      </w:pPr>
      <w:r>
        <w:rPr/>
      </w:r>
    </w:p>
    <w:p>
      <w:pPr>
        <w:pStyle w:val="TextBody"/>
        <w:bidi w:val="0"/>
        <w:spacing w:lineRule="auto" w:line="288" w:before="0" w:after="0"/>
        <w:ind w:left="0" w:right="0" w:firstLine="360"/>
        <w:jc w:val="center"/>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ind w:left="0" w:right="0" w:firstLine="36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ind w:left="0" w:right="0" w:firstLine="360"/>
        <w:jc w:val="center"/>
        <w:rPr>
          <w:rFonts w:ascii="Helvetica;sans-serif" w:hAnsi="Helvetica;sans-serif"/>
          <w:b/>
          <w:color w:val="000000"/>
          <w:sz w:val="20"/>
        </w:rPr>
      </w:pPr>
      <w:r>
        <w:rPr>
          <w:rFonts w:ascii="Helvetica;sans-serif" w:hAnsi="Helvetica;sans-serif"/>
          <w:b/>
          <w:color w:val="000000"/>
          <w:sz w:val="20"/>
        </w:rPr>
        <w:t>Washington, D.C. 20549</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bidi w:val="0"/>
        <w:spacing w:lineRule="auto" w:line="288" w:before="240" w:after="283"/>
        <w:ind w:left="0" w:right="0" w:firstLine="360"/>
        <w:jc w:val="center"/>
        <w:rPr>
          <w:rFonts w:ascii="Helvetica;sans-serif" w:hAnsi="Helvetica;sans-serif"/>
          <w:b/>
          <w:color w:val="000000"/>
          <w:sz w:val="32"/>
        </w:rPr>
      </w:pPr>
      <w:r>
        <w:rPr>
          <w:rFonts w:ascii="Helvetica;sans-serif" w:hAnsi="Helvetica;sans-serif"/>
          <w:b/>
          <w:color w:val="000000"/>
          <w:sz w:val="32"/>
        </w:rPr>
        <w:t>FORM 10-Q</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(Mark One)</w:t>
      </w:r>
    </w:p>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QUARTERLY REPORT PURSUANT TO SECTION 13 OR 15(d) OF THE SECURITIES EXCHANGE ACT OF 1934</w:t>
            </w:r>
          </w:p>
        </w:tc>
      </w:tr>
    </w:tbl>
    <w:p>
      <w:pPr>
        <w:pStyle w:val="TextBody"/>
        <w:bidi w:val="0"/>
        <w:spacing w:lineRule="auto" w:line="288" w:before="0" w:after="200"/>
        <w:ind w:left="0" w:right="0" w:firstLine="360"/>
        <w:jc w:val="center"/>
        <w:rPr/>
      </w:pPr>
      <w:r>
        <w:rPr>
          <w:rFonts w:ascii="Helvetica;sans-serif" w:hAnsi="Helvetica;sans-serif"/>
          <w:b/>
          <w:color w:val="000000"/>
          <w:sz w:val="18"/>
        </w:rPr>
        <w:t>For the quarterly period ended</w:t>
      </w:r>
      <w:r>
        <w:rPr>
          <w:color w:val="000000"/>
        </w:rPr>
        <w:t xml:space="preserve"> </w:t>
      </w:r>
      <w:r>
        <w:rPr>
          <w:rFonts w:ascii="Helvetica;sans-serif" w:hAnsi="Helvetica;sans-serif"/>
          <w:b/>
          <w:color w:val="000000"/>
          <w:sz w:val="20"/>
        </w:rPr>
        <w:t>June 30, 2026</w:t>
      </w:r>
    </w:p>
    <w:p>
      <w:pPr>
        <w:pStyle w:val="TextBody"/>
        <w:bidi w:val="0"/>
        <w:spacing w:lineRule="auto" w:line="288" w:before="0" w:after="0"/>
        <w:ind w:left="0" w:right="0" w:firstLine="360"/>
        <w:jc w:val="center"/>
        <w:rPr>
          <w:rFonts w:ascii="Helvetica;sans-serif" w:hAnsi="Helvetica;sans-serif"/>
          <w:b/>
          <w:color w:val="000000"/>
          <w:sz w:val="18"/>
        </w:rPr>
      </w:pPr>
      <w:r>
        <w:rPr>
          <w:rFonts w:ascii="Helvetica;sans-serif" w:hAnsi="Helvetica;sans-serif"/>
          <w:b/>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TRANSITION REPORT PURSUANT TO SECTION 13 OR 15(d) OF THE SECURITIES EXCHANGE ACT OF 1934</w:t>
            </w:r>
          </w:p>
        </w:tc>
      </w:tr>
    </w:tbl>
    <w:p>
      <w:pPr>
        <w:pStyle w:val="TextBody"/>
        <w:bidi w:val="0"/>
        <w:spacing w:lineRule="auto" w:line="288" w:before="0" w:after="100"/>
        <w:ind w:left="0" w:right="0" w:firstLine="360"/>
        <w:jc w:val="center"/>
        <w:rPr>
          <w:rFonts w:ascii="Helvetica;sans-serif" w:hAnsi="Helvetica;sans-serif"/>
          <w:b/>
          <w:color w:val="000000"/>
          <w:sz w:val="18"/>
        </w:rPr>
      </w:pPr>
      <w:r>
        <w:rPr>
          <w:rFonts w:ascii="Helvetica;sans-serif" w:hAnsi="Helvetica;sans-serif"/>
          <w:b/>
          <w:color w:val="000000"/>
          <w:sz w:val="18"/>
        </w:rPr>
        <w:t>For the transition period from ________ to ________</w:t>
      </w:r>
    </w:p>
    <w:p>
      <w:pPr>
        <w:pStyle w:val="TextBody"/>
        <w:bidi w:val="0"/>
        <w:spacing w:lineRule="auto" w:line="288" w:before="240" w:after="283"/>
        <w:ind w:left="0" w:right="0" w:firstLine="360"/>
        <w:jc w:val="center"/>
        <w:rPr/>
      </w:pPr>
      <w:r>
        <w:rPr>
          <w:rFonts w:ascii="Helvetica;sans-serif" w:hAnsi="Helvetica;sans-serif"/>
          <w:b w:val="false"/>
          <w:color w:val="000000"/>
          <w:sz w:val="20"/>
        </w:rPr>
        <w:t xml:space="preserve">Commission File Number: </w:t>
      </w:r>
      <w:r>
        <w:rPr>
          <w:rFonts w:ascii="Helvetica;sans-serif" w:hAnsi="Helvetica;sans-serif"/>
          <w:b/>
          <w:color w:val="000000"/>
          <w:sz w:val="20"/>
        </w:rPr>
        <w:t>001-40691</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bidi w:val="0"/>
        <w:spacing w:before="0" w:after="0"/>
        <w:ind w:left="0" w:right="0" w:firstLine="360"/>
        <w:jc w:val="center"/>
        <w:rPr/>
      </w:pPr>
      <w:r>
        <w:rPr/>
        <w:drawing>
          <wp:inline distT="0" distB="0" distL="0" distR="0">
            <wp:extent cx="4572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7200" cy="581025"/>
                    </a:xfrm>
                    <a:prstGeom prst="rect">
                      <a:avLst/>
                    </a:prstGeom>
                  </pic:spPr>
                </pic:pic>
              </a:graphicData>
            </a:graphic>
          </wp:inline>
        </w:drawing>
      </w:r>
      <w:bookmarkStart w:id="0" w:name="i-1"/>
      <w:bookmarkEnd w:id="0"/>
    </w:p>
    <w:p>
      <w:pPr>
        <w:pStyle w:val="TextBody"/>
        <w:bidi w:val="0"/>
        <w:spacing w:lineRule="auto" w:line="288" w:before="0" w:after="0"/>
        <w:ind w:left="0" w:right="0" w:firstLine="360"/>
        <w:jc w:val="center"/>
        <w:rPr>
          <w:rFonts w:ascii="Helvetica;sans-serif" w:hAnsi="Helvetica;sans-serif"/>
          <w:b/>
          <w:color w:val="000000"/>
          <w:sz w:val="48"/>
        </w:rPr>
      </w:pPr>
      <w:r>
        <w:rPr>
          <w:rFonts w:ascii="Helvetica;sans-serif" w:hAnsi="Helvetica;sans-serif"/>
          <w:b/>
          <w:color w:val="000000"/>
          <w:sz w:val="48"/>
        </w:rPr>
        <w:t>Robinhood Markets, Inc.</w:t>
      </w:r>
    </w:p>
    <w:p>
      <w:pPr>
        <w:pStyle w:val="TextBody"/>
        <w:bidi w:val="0"/>
        <w:spacing w:lineRule="auto" w:line="288" w:before="60" w:after="6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(Exact name of registrant as specified in its charter)</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tbl>
      <w:tblPr>
        <w:tblW w:w="3987" w:type="dxa"/>
        <w:jc w:val="left"/>
        <w:tblInd w:w="0" w:type="dxa"/>
        <w:tblLayout w:type="fixed"/>
        <w:tblCellMar>
          <w:top w:w="28" w:type="dxa"/>
          <w:left w:w="28" w:type="dxa"/>
          <w:bottom w:w="28" w:type="dxa"/>
          <w:right w:w="28" w:type="dxa"/>
        </w:tblCellMar>
      </w:tblPr>
      <w:tblGrid>
        <w:gridCol w:w="815"/>
        <w:gridCol w:w="715"/>
        <w:gridCol w:w="720"/>
        <w:gridCol w:w="109"/>
        <w:gridCol w:w="109"/>
        <w:gridCol w:w="109"/>
        <w:gridCol w:w="412"/>
        <w:gridCol w:w="412"/>
        <w:gridCol w:w="586"/>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46-4364776</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(IRS Employer</w:t>
              <w:br/>
              <w:t>Identification No.)</w:t>
            </w:r>
          </w:p>
        </w:tc>
      </w:tr>
    </w:tbl>
    <w:p>
      <w:pPr>
        <w:pStyle w:val="TextBody"/>
        <w:bidi w:val="0"/>
        <w:spacing w:lineRule="auto" w:line="288" w:before="0" w:after="0"/>
        <w:ind w:left="0" w:right="0" w:firstLine="36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85 Willow Rd</w:t>
      </w:r>
    </w:p>
    <w:p>
      <w:pPr>
        <w:pStyle w:val="TextBody"/>
        <w:bidi w:val="0"/>
        <w:spacing w:lineRule="auto" w:line="288" w:before="0" w:after="0"/>
        <w:ind w:left="0" w:right="0" w:firstLine="36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Menlo Park, CA 94025</w:t>
      </w:r>
    </w:p>
    <w:p>
      <w:pPr>
        <w:pStyle w:val="TextBody"/>
        <w:bidi w:val="0"/>
        <w:spacing w:lineRule="auto" w:line="288" w:before="0" w:after="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(Address of principal executive offices, including zip code)</w:t>
      </w:r>
    </w:p>
    <w:p>
      <w:pPr>
        <w:pStyle w:val="TextBody"/>
        <w:bidi w:val="0"/>
        <w:spacing w:lineRule="auto" w:line="288" w:before="120" w:after="283"/>
        <w:ind w:left="0" w:right="0" w:firstLine="360"/>
        <w:jc w:val="center"/>
        <w:rPr>
          <w:rFonts w:ascii="Helvetica;sans-serif" w:hAnsi="Helvetica;sans-serif"/>
          <w:b/>
          <w:color w:val="000000"/>
          <w:sz w:val="20"/>
        </w:rPr>
      </w:pPr>
      <w:r>
        <w:rPr>
          <w:rFonts w:ascii="Helvetica;sans-serif" w:hAnsi="Helvetica;sans-serif"/>
          <w:b/>
          <w:color w:val="000000"/>
          <w:sz w:val="20"/>
        </w:rPr>
        <w:t>(844) 428-5411</w:t>
      </w:r>
    </w:p>
    <w:p>
      <w:pPr>
        <w:pStyle w:val="TextBody"/>
        <w:bidi w:val="0"/>
        <w:spacing w:lineRule="auto" w:line="288" w:before="0" w:after="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(Registrant’s telephone number, including area code)</w:t>
      </w:r>
    </w:p>
    <w:p>
      <w:pPr>
        <w:pStyle w:val="TextBody"/>
        <w:bidi w:val="0"/>
        <w:spacing w:before="0" w:after="0"/>
        <w:ind w:left="0" w:right="0" w:firstLine="360"/>
        <w:jc w:val="center"/>
        <w:rPr/>
      </w:pPr>
      <w:r>
        <w:rPr/>
      </w:r>
    </w:p>
    <w:p>
      <w:pPr>
        <w:pStyle w:val="TextBody"/>
        <w:bidi w:val="0"/>
        <w:spacing w:lineRule="auto" w:line="288" w:before="0" w:after="120"/>
        <w:jc w:val="both"/>
        <w:rPr>
          <w:rFonts w:ascii="Helvetica;sans-serif" w:hAnsi="Helvetica;sans-serif"/>
          <w:b/>
          <w:color w:val="000000"/>
          <w:sz w:val="18"/>
        </w:rPr>
      </w:pPr>
      <w:r>
        <w:rPr>
          <w:rFonts w:ascii="Helvetica;sans-serif" w:hAnsi="Helvetica;sans-serif"/>
          <w:b/>
          <w:color w:val="000000"/>
          <w:sz w:val="18"/>
        </w:rPr>
        <w:t>Securities registered pursuant to Section 12(b) of the Act:</w:t>
      </w:r>
    </w:p>
    <w:tbl>
      <w:tblPr>
        <w:tblW w:w="9658" w:type="dxa"/>
        <w:jc w:val="left"/>
        <w:tblInd w:w="0" w:type="dxa"/>
        <w:tblLayout w:type="fixed"/>
        <w:tblCellMar>
          <w:top w:w="28" w:type="dxa"/>
          <w:left w:w="28" w:type="dxa"/>
          <w:bottom w:w="28" w:type="dxa"/>
          <w:right w:w="28" w:type="dxa"/>
        </w:tblCellMar>
      </w:tblPr>
      <w:tblGrid>
        <w:gridCol w:w="1546"/>
        <w:gridCol w:w="1356"/>
        <w:gridCol w:w="1372"/>
        <w:gridCol w:w="479"/>
        <w:gridCol w:w="479"/>
        <w:gridCol w:w="481"/>
        <w:gridCol w:w="1154"/>
        <w:gridCol w:w="1154"/>
        <w:gridCol w:w="1637"/>
      </w:tblGrid>
      <w:tr>
        <w:trPr/>
        <w:tc>
          <w:tcPr>
            <w:tcW w:w="154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Name of each exchange on which registered</w:t>
            </w:r>
          </w:p>
        </w:tc>
      </w:tr>
      <w:tr>
        <w:trPr/>
        <w:tc>
          <w:tcPr>
            <w:tcW w:w="4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Class A Common Stock - $0.0001 par value per share</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HOOD</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The Nasdaq Stock Market LLC</w:t>
            </w:r>
          </w:p>
        </w:tc>
      </w:tr>
    </w:tbl>
    <w:p>
      <w:pPr>
        <w:pStyle w:val="TextBody"/>
        <w:bidi w:val="0"/>
        <w:spacing w:lineRule="auto" w:line="288" w:before="0" w:after="0"/>
        <w:jc w:val="both"/>
        <w:rPr/>
      </w:pPr>
      <w:r>
        <w:rPr>
          <w:rFonts w:ascii="Helvetica;sans-serif" w:hAnsi="Helvetica;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Helvetica;sans-serif" w:hAnsi="Helvetica;sans-serif"/>
          <w:b w:val="false"/>
          <w:color w:val="000000"/>
          <w:sz w:val="18"/>
        </w:rPr>
        <w:t>No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Helvetica;sans-serif" w:hAnsi="Helvetica;sans-serif"/>
          <w:b w:val="false"/>
          <w:color w:val="000000"/>
          <w:sz w:val="18"/>
        </w:rPr>
        <w:t>No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Large accelerated filer </w:t>
      </w:r>
      <w:r>
        <w:rPr>
          <w:color w:val="000000"/>
        </w:rPr>
        <w:t xml:space="preserve">☒     </w:t>
      </w:r>
      <w:r>
        <w:rPr>
          <w:rFonts w:ascii="Helvetica;sans-serif" w:hAnsi="Helvetica;sans-serif"/>
          <w:b w:val="false"/>
          <w:color w:val="000000"/>
          <w:sz w:val="18"/>
        </w:rPr>
        <w:t>Accelerated filer </w:t>
      </w:r>
      <w:r>
        <w:rPr>
          <w:rFonts w:ascii="Wingdings;sans-serif" w:hAnsi="Wingdings;sans-serif"/>
          <w:b w:val="false"/>
          <w:color w:val="000000"/>
          <w:sz w:val="18"/>
        </w:rPr>
        <w:t>o</w:t>
      </w:r>
      <w:r>
        <w:rPr>
          <w:color w:val="000000"/>
        </w:rPr>
        <w:t xml:space="preserve">    </w:t>
      </w:r>
      <w:r>
        <w:rPr>
          <w:rFonts w:ascii="Helvetica;sans-serif" w:hAnsi="Helvetica;sans-serif"/>
          <w:b w:val="false"/>
          <w:color w:val="000000"/>
          <w:sz w:val="18"/>
        </w:rPr>
        <w:t>Non-accelerated filer </w:t>
      </w:r>
      <w:r>
        <w:rPr>
          <w:rFonts w:ascii="Wingdings;sans-serif" w:hAnsi="Wingdings;sans-serif"/>
          <w:b w:val="false"/>
          <w:color w:val="000000"/>
          <w:sz w:val="18"/>
        </w:rPr>
        <w:t>o</w:t>
      </w:r>
      <w:r>
        <w:rPr>
          <w:color w:val="000000"/>
        </w:rPr>
        <w:t xml:space="preserve">  </w:t>
      </w:r>
      <w:r>
        <w:rPr>
          <w:rFonts w:ascii="Helvetica;sans-serif" w:hAnsi="Helvetica;sans-serif"/>
          <w:b w:val="false"/>
          <w:color w:val="000000"/>
          <w:sz w:val="18"/>
        </w:rPr>
        <w:t>Smaller reporting company </w:t>
      </w:r>
      <w:r>
        <w:rPr>
          <w:color w:val="000000"/>
        </w:rPr>
        <w:t xml:space="preserve">☐ </w:t>
      </w:r>
      <w:r>
        <w:rPr>
          <w:rFonts w:ascii="Helvetica;sans-serif" w:hAnsi="Helvetica;sans-serif"/>
          <w:b w:val="false"/>
          <w:color w:val="000000"/>
          <w:sz w:val="18"/>
        </w:rPr>
        <w:t xml:space="preserve">Emerging growth company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Helvetica;sans-serif" w:hAnsi="Helvetica;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Helvetica;sans-serif" w:hAnsi="Helvetica;sans-serif"/>
          <w:b w:val="false"/>
          <w:color w:val="000000"/>
          <w:sz w:val="18"/>
        </w:rPr>
        <w:t>No </w:t>
      </w:r>
      <w:r>
        <w:rPr>
          <w:color w:val="000000"/>
        </w:rPr>
        <w:t>☒</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As of July 23, 2026, the numbers of shares of the issuer’s Class A and Class B common stock outstanding were 790,630,234 and 108,452,039.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20"/>
        <w:jc w:val="center"/>
        <w:rPr/>
      </w:pPr>
      <w:r>
        <w:rPr/>
      </w:r>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TABLE OF CONTENTS</w:t>
      </w:r>
    </w:p>
    <w:tbl>
      <w:tblPr>
        <w:tblW w:w="10205" w:type="dxa"/>
        <w:jc w:val="left"/>
        <w:tblInd w:w="0" w:type="dxa"/>
        <w:tblLayout w:type="fixed"/>
        <w:tblCellMar>
          <w:top w:w="28" w:type="dxa"/>
          <w:left w:w="28" w:type="dxa"/>
          <w:bottom w:w="28" w:type="dxa"/>
          <w:right w:w="28" w:type="dxa"/>
        </w:tblCellMar>
      </w:tblPr>
      <w:tblGrid>
        <w:gridCol w:w="601"/>
        <w:gridCol w:w="529"/>
        <w:gridCol w:w="529"/>
        <w:gridCol w:w="2489"/>
        <w:gridCol w:w="2431"/>
        <w:gridCol w:w="2428"/>
        <w:gridCol w:w="109"/>
        <w:gridCol w:w="109"/>
        <w:gridCol w:w="109"/>
        <w:gridCol w:w="109"/>
        <w:gridCol w:w="221"/>
        <w:gridCol w:w="221"/>
        <w:gridCol w:w="320"/>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00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PART I - FINANCIAL INFORMATION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PAGE </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19">
              <w:r>
                <w:rPr>
                  <w:rStyle w:val="InternetLink"/>
                  <w:rFonts w:ascii="Helvetica;sans-serif" w:hAnsi="Helvetica;sans-serif"/>
                  <w:b w:val="false"/>
                  <w:color w:val="0000FF"/>
                  <w:sz w:val="20"/>
                  <w:u w:val="single"/>
                </w:rPr>
                <w:t>Unaudited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19">
              <w:r>
                <w:rPr>
                  <w:rStyle w:val="InternetLink"/>
                  <w:rFonts w:ascii="Helvetica;sans-serif" w:hAnsi="Helvetica;sans-serif"/>
                  <w:b w:val="false"/>
                  <w:color w:val="0000FF"/>
                  <w:sz w:val="20"/>
                  <w:u w:val="single"/>
                </w:rPr>
                <w:t xml:space="preserve">Condensed Consolidated Balance Sheets </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19">
              <w:r>
                <w:rPr>
                  <w:rStyle w:val="InternetLink"/>
                  <w:rFonts w:ascii="Helvetica;sans-serif" w:hAnsi="Helvetica;sans-serif"/>
                  <w:b w:val="false"/>
                  <w:color w:val="0000FF"/>
                  <w:sz w:val="20"/>
                  <w:u w:val="single"/>
                </w:rPr>
                <w:t>11</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2">
              <w:r>
                <w:rPr>
                  <w:rStyle w:val="InternetLink"/>
                  <w:rFonts w:ascii="Helvetica;sans-serif" w:hAnsi="Helvetica;sans-serif"/>
                  <w:b w:val="false"/>
                  <w:color w:val="0000FF"/>
                  <w:sz w:val="20"/>
                  <w:u w:val="single"/>
                </w:rPr>
                <w:t>Condensed Consolidated Statements of Operations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2">
              <w:r>
                <w:rPr>
                  <w:rStyle w:val="InternetLink"/>
                  <w:rFonts w:ascii="Helvetica;sans-serif" w:hAnsi="Helvetica;sans-serif"/>
                  <w:b w:val="false"/>
                  <w:color w:val="0000FF"/>
                  <w:sz w:val="20"/>
                  <w:u w:val="single"/>
                </w:rPr>
                <w:t>12</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94f66f6935354692926c7e49d2b4f047_25">
              <w:r>
                <w:rPr>
                  <w:rStyle w:val="InternetLink"/>
                  <w:rFonts w:ascii="Helvetica;sans-serif" w:hAnsi="Helvetica;sans-serif"/>
                  <w:b w:val="false"/>
                  <w:color w:val="0000FF"/>
                  <w:sz w:val="20"/>
                  <w:u w:val="single"/>
                </w:rPr>
                <w:t>Condensed Consolidated Statements of Comprehensive Income</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5">
              <w:r>
                <w:rPr>
                  <w:rStyle w:val="InternetLink"/>
                  <w:rFonts w:ascii="Helvetica;sans-serif" w:hAnsi="Helvetica;sans-serif"/>
                  <w:b w:val="false"/>
                  <w:color w:val="0000FF"/>
                  <w:sz w:val="20"/>
                  <w:u w:val="single"/>
                </w:rPr>
                <w:t>13</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8">
              <w:r>
                <w:rPr>
                  <w:rStyle w:val="InternetLink"/>
                  <w:rFonts w:ascii="Helvetica;sans-serif" w:hAnsi="Helvetica;sans-serif"/>
                  <w:b w:val="false"/>
                  <w:color w:val="0000FF"/>
                  <w:sz w:val="20"/>
                  <w:u w:val="single"/>
                </w:rPr>
                <w:t xml:space="preserve">Condensed Consolidated Statements of Cash Flows </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8">
              <w:r>
                <w:rPr>
                  <w:rStyle w:val="InternetLink"/>
                  <w:rFonts w:ascii="Helvetica;sans-serif" w:hAnsi="Helvetica;sans-serif"/>
                  <w:b w:val="false"/>
                  <w:color w:val="0000FF"/>
                  <w:sz w:val="20"/>
                  <w:u w:val="single"/>
                </w:rPr>
                <w:t>14</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31">
              <w:r>
                <w:rPr>
                  <w:rStyle w:val="InternetLink"/>
                  <w:rFonts w:ascii="Helvetica;sans-serif" w:hAnsi="Helvetica;sans-serif"/>
                  <w:b w:val="false"/>
                  <w:color w:val="0000FF"/>
                  <w:sz w:val="20"/>
                  <w:u w:val="single"/>
                </w:rPr>
                <w:t>Condensed Consolidated Statements of Stockholders’ 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31">
              <w:r>
                <w:rPr>
                  <w:rStyle w:val="InternetLink"/>
                  <w:rFonts w:ascii="Helvetica;sans-serif" w:hAnsi="Helvetica;sans-serif"/>
                  <w:b w:val="false"/>
                  <w:color w:val="0000FF"/>
                  <w:sz w:val="20"/>
                  <w:u w:val="single"/>
                </w:rPr>
                <w:t>16</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37">
              <w:r>
                <w:rPr>
                  <w:rStyle w:val="InternetLink"/>
                  <w:rFonts w:ascii="Helvetica;sans-serif" w:hAnsi="Helvetica;sans-serif"/>
                  <w:b w:val="false"/>
                  <w:color w:val="0000FF"/>
                  <w:sz w:val="20"/>
                  <w:u w:val="single"/>
                </w:rPr>
                <w:t>Notes to Unaudited Condensed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40">
              <w:r>
                <w:rPr>
                  <w:rStyle w:val="InternetLink"/>
                  <w:rFonts w:ascii="Helvetica;sans-serif" w:hAnsi="Helvetica;sans-serif"/>
                  <w:b w:val="false"/>
                  <w:color w:val="0000FF"/>
                  <w:sz w:val="20"/>
                  <w:u w:val="single"/>
                </w:rPr>
                <w:t>Note 1 - Description of Business and Summary of Significant Accounting Policies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40">
              <w:r>
                <w:rPr>
                  <w:rStyle w:val="InternetLink"/>
                  <w:rFonts w:ascii="Helvetica;sans-serif" w:hAnsi="Helvetica;sans-serif"/>
                  <w:b w:val="false"/>
                  <w:color w:val="0000FF"/>
                  <w:sz w:val="20"/>
                  <w:u w:val="single"/>
                </w:rPr>
                <w:t>18</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43">
              <w:r>
                <w:rPr>
                  <w:rStyle w:val="InternetLink"/>
                  <w:rFonts w:ascii="Helvetica;sans-serif" w:hAnsi="Helvetica;sans-serif"/>
                  <w:b w:val="false"/>
                  <w:color w:val="0000FF"/>
                  <w:sz w:val="20"/>
                  <w:u w:val="single"/>
                </w:rPr>
                <w:t>Note 2 - Recent Accounting Pronouncements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43">
              <w:r>
                <w:rPr>
                  <w:rStyle w:val="InternetLink"/>
                  <w:rFonts w:ascii="Helvetica;sans-serif" w:hAnsi="Helvetica;sans-serif"/>
                  <w:b w:val="false"/>
                  <w:color w:val="0000FF"/>
                  <w:sz w:val="20"/>
                  <w:u w:val="single"/>
                </w:rPr>
                <w:t>20</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49">
              <w:bookmarkStart w:id="1" w:name="i4e85d868d18c443e89f0e30d0390b3b5_10-1-1"/>
              <w:bookmarkEnd w:id="1"/>
              <w:r>
                <w:rPr>
                  <w:rStyle w:val="InternetLink"/>
                  <w:rFonts w:ascii="Helvetica;sans-serif" w:hAnsi="Helvetica;sans-serif"/>
                  <w:b w:val="false"/>
                  <w:color w:val="0000FF"/>
                  <w:sz w:val="20"/>
                  <w:u w:val="single"/>
                </w:rPr>
                <w:t>Note 3 - Business Combinations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49">
              <w:r>
                <w:rPr>
                  <w:rStyle w:val="InternetLink"/>
                  <w:rFonts w:ascii="Helvetica;sans-serif" w:hAnsi="Helvetica;sans-serif"/>
                  <w:b w:val="false"/>
                  <w:color w:val="0000FF"/>
                  <w:sz w:val="20"/>
                  <w:u w:val="single"/>
                </w:rPr>
                <w:t>21</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993">
              <w:r>
                <w:rPr>
                  <w:rStyle w:val="InternetLink"/>
                  <w:rFonts w:ascii="Helvetica;sans-serif" w:hAnsi="Helvetica;sans-serif"/>
                  <w:b w:val="false"/>
                  <w:color w:val="000080"/>
                  <w:sz w:val="20"/>
                  <w:u w:val="single"/>
                </w:rPr>
                <w:t>N</w:t>
              </w:r>
            </w:hyperlink>
            <w:hyperlink w:anchor="i94f66f6935354692926c7e49d2b4f047_993">
              <w:r>
                <w:rPr>
                  <w:rStyle w:val="InternetLink"/>
                  <w:rFonts w:ascii="Helvetica;sans-serif" w:hAnsi="Helvetica;sans-serif"/>
                  <w:b w:val="false"/>
                  <w:color w:val="000080"/>
                  <w:sz w:val="20"/>
                  <w:u w:val="single"/>
                </w:rPr>
                <w:t>ote 4 - Deconsolidation of RVI</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993">
              <w:r>
                <w:rPr>
                  <w:rStyle w:val="InternetLink"/>
                  <w:rFonts w:ascii="Helvetica;sans-serif" w:hAnsi="Helvetica;sans-serif"/>
                  <w:b w:val="false"/>
                  <w:color w:val="0000FF"/>
                  <w:sz w:val="20"/>
                  <w:u w:val="single"/>
                </w:rPr>
                <w:t>25</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55">
              <w:r>
                <w:rPr>
                  <w:rStyle w:val="InternetLink"/>
                  <w:rFonts w:ascii="Helvetica;sans-serif" w:hAnsi="Helvetica;sans-serif"/>
                  <w:b w:val="false"/>
                  <w:color w:val="000080"/>
                  <w:sz w:val="20"/>
                  <w:u w:val="single"/>
                </w:rPr>
                <w:t xml:space="preserve">Note </w:t>
              </w:r>
            </w:hyperlink>
            <w:hyperlink w:anchor="i94f66f6935354692926c7e49d2b4f047_55">
              <w:r>
                <w:rPr>
                  <w:rStyle w:val="InternetLink"/>
                  <w:rFonts w:ascii="Helvetica;sans-serif" w:hAnsi="Helvetica;sans-serif"/>
                  <w:b w:val="false"/>
                  <w:color w:val="000080"/>
                  <w:sz w:val="20"/>
                  <w:u w:val="single"/>
                </w:rPr>
                <w:t>5</w:t>
              </w:r>
            </w:hyperlink>
            <w:hyperlink w:anchor="i94f66f6935354692926c7e49d2b4f047_55">
              <w:r>
                <w:rPr>
                  <w:rStyle w:val="InternetLink"/>
                  <w:rFonts w:ascii="Helvetica;sans-serif" w:hAnsi="Helvetica;sans-serif"/>
                  <w:b w:val="false"/>
                  <w:color w:val="000080"/>
                  <w:sz w:val="20"/>
                  <w:u w:val="single"/>
                </w:rPr>
                <w:t xml:space="preserve"> - Goodwill and Intangible Assets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55">
              <w:r>
                <w:rPr>
                  <w:rStyle w:val="InternetLink"/>
                  <w:rFonts w:ascii="Helvetica;sans-serif" w:hAnsi="Helvetica;sans-serif"/>
                  <w:b w:val="false"/>
                  <w:color w:val="0000FF"/>
                  <w:sz w:val="20"/>
                  <w:u w:val="single"/>
                </w:rPr>
                <w:t>25</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58">
              <w:r>
                <w:rPr>
                  <w:rStyle w:val="InternetLink"/>
                  <w:rFonts w:ascii="Helvetica;sans-serif" w:hAnsi="Helvetica;sans-serif"/>
                  <w:b w:val="false"/>
                  <w:color w:val="000080"/>
                  <w:sz w:val="20"/>
                  <w:u w:val="single"/>
                </w:rPr>
                <w:t xml:space="preserve">Note </w:t>
              </w:r>
            </w:hyperlink>
            <w:hyperlink w:anchor="i94f66f6935354692926c7e49d2b4f047_58">
              <w:r>
                <w:rPr>
                  <w:rStyle w:val="InternetLink"/>
                  <w:rFonts w:ascii="Helvetica;sans-serif" w:hAnsi="Helvetica;sans-serif"/>
                  <w:b w:val="false"/>
                  <w:color w:val="000080"/>
                  <w:sz w:val="20"/>
                  <w:u w:val="single"/>
                </w:rPr>
                <w:t>6</w:t>
              </w:r>
            </w:hyperlink>
            <w:hyperlink w:anchor="i94f66f6935354692926c7e49d2b4f047_58">
              <w:r>
                <w:rPr>
                  <w:rStyle w:val="InternetLink"/>
                  <w:rFonts w:ascii="Helvetica;sans-serif" w:hAnsi="Helvetica;sans-serif"/>
                  <w:b w:val="false"/>
                  <w:color w:val="000080"/>
                  <w:sz w:val="20"/>
                  <w:u w:val="single"/>
                </w:rPr>
                <w:t xml:space="preserve"> - Revenues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58">
              <w:r>
                <w:rPr>
                  <w:rStyle w:val="InternetLink"/>
                  <w:rFonts w:ascii="Helvetica;sans-serif" w:hAnsi="Helvetica;sans-serif"/>
                  <w:b w:val="false"/>
                  <w:color w:val="0000FF"/>
                  <w:sz w:val="20"/>
                  <w:u w:val="single"/>
                </w:rPr>
                <w:t>27</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61">
              <w:r>
                <w:rPr>
                  <w:rStyle w:val="InternetLink"/>
                  <w:rFonts w:ascii="Helvetica;sans-serif" w:hAnsi="Helvetica;sans-serif"/>
                  <w:b w:val="false"/>
                  <w:color w:val="000080"/>
                  <w:sz w:val="20"/>
                  <w:u w:val="single"/>
                </w:rPr>
                <w:t xml:space="preserve">Note </w:t>
              </w:r>
            </w:hyperlink>
            <w:hyperlink w:anchor="i94f66f6935354692926c7e49d2b4f047_61">
              <w:r>
                <w:rPr>
                  <w:rStyle w:val="InternetLink"/>
                  <w:rFonts w:ascii="Helvetica;sans-serif" w:hAnsi="Helvetica;sans-serif"/>
                  <w:b w:val="false"/>
                  <w:color w:val="000080"/>
                  <w:sz w:val="20"/>
                  <w:u w:val="single"/>
                </w:rPr>
                <w:t>7</w:t>
              </w:r>
            </w:hyperlink>
            <w:hyperlink w:anchor="i94f66f6935354692926c7e49d2b4f047_61">
              <w:r>
                <w:rPr>
                  <w:rStyle w:val="InternetLink"/>
                  <w:rFonts w:ascii="Helvetica;sans-serif" w:hAnsi="Helvetica;sans-serif"/>
                  <w:b w:val="false"/>
                  <w:color w:val="000080"/>
                  <w:sz w:val="20"/>
                  <w:u w:val="single"/>
                </w:rPr>
                <w:t xml:space="preserve"> - Allowance for Credit Losses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61">
              <w:r>
                <w:rPr>
                  <w:rStyle w:val="InternetLink"/>
                  <w:rFonts w:ascii="Helvetica;sans-serif" w:hAnsi="Helvetica;sans-serif"/>
                  <w:b w:val="false"/>
                  <w:color w:val="0000FF"/>
                  <w:sz w:val="20"/>
                  <w:u w:val="single"/>
                </w:rPr>
                <w:t>29</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64">
              <w:r>
                <w:rPr>
                  <w:rStyle w:val="InternetLink"/>
                  <w:rFonts w:ascii="Helvetica;sans-serif" w:hAnsi="Helvetica;sans-serif"/>
                  <w:b w:val="false"/>
                  <w:color w:val="000080"/>
                  <w:sz w:val="20"/>
                  <w:u w:val="single"/>
                </w:rPr>
                <w:t xml:space="preserve">Note </w:t>
              </w:r>
            </w:hyperlink>
            <w:hyperlink w:anchor="i94f66f6935354692926c7e49d2b4f047_64">
              <w:r>
                <w:rPr>
                  <w:rStyle w:val="InternetLink"/>
                  <w:rFonts w:ascii="Helvetica;sans-serif" w:hAnsi="Helvetica;sans-serif"/>
                  <w:b w:val="false"/>
                  <w:color w:val="000080"/>
                  <w:sz w:val="20"/>
                  <w:u w:val="single"/>
                </w:rPr>
                <w:t>8</w:t>
              </w:r>
            </w:hyperlink>
            <w:hyperlink w:anchor="i94f66f6935354692926c7e49d2b4f047_64">
              <w:r>
                <w:rPr>
                  <w:rStyle w:val="InternetLink"/>
                  <w:rFonts w:ascii="Helvetica;sans-serif" w:hAnsi="Helvetica;sans-serif"/>
                  <w:b w:val="false"/>
                  <w:color w:val="000080"/>
                  <w:sz w:val="20"/>
                  <w:u w:val="single"/>
                </w:rPr>
                <w:t xml:space="preserve"> - Investments and Fair Value Measurement</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64">
              <w:r>
                <w:rPr>
                  <w:rStyle w:val="InternetLink"/>
                  <w:rFonts w:ascii="Helvetica;sans-serif" w:hAnsi="Helvetica;sans-serif"/>
                  <w:b w:val="false"/>
                  <w:color w:val="0000FF"/>
                  <w:sz w:val="20"/>
                  <w:u w:val="single"/>
                </w:rPr>
                <w:t>31</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70">
              <w:r>
                <w:rPr>
                  <w:rStyle w:val="InternetLink"/>
                  <w:rFonts w:ascii="Helvetica;sans-serif" w:hAnsi="Helvetica;sans-serif"/>
                  <w:b w:val="false"/>
                  <w:color w:val="000080"/>
                  <w:sz w:val="20"/>
                  <w:u w:val="single"/>
                </w:rPr>
                <w:t xml:space="preserve">Note </w:t>
              </w:r>
            </w:hyperlink>
            <w:hyperlink w:anchor="i94f66f6935354692926c7e49d2b4f047_70">
              <w:r>
                <w:rPr>
                  <w:rStyle w:val="InternetLink"/>
                  <w:rFonts w:ascii="Helvetica;sans-serif" w:hAnsi="Helvetica;sans-serif"/>
                  <w:b w:val="false"/>
                  <w:color w:val="000080"/>
                  <w:sz w:val="20"/>
                  <w:u w:val="single"/>
                </w:rPr>
                <w:t>9</w:t>
              </w:r>
            </w:hyperlink>
            <w:hyperlink w:anchor="i94f66f6935354692926c7e49d2b4f047_70">
              <w:r>
                <w:rPr>
                  <w:rStyle w:val="InternetLink"/>
                  <w:rFonts w:ascii="Helvetica;sans-serif" w:hAnsi="Helvetica;sans-serif"/>
                  <w:b w:val="false"/>
                  <w:color w:val="000080"/>
                  <w:sz w:val="20"/>
                  <w:u w:val="single"/>
                </w:rPr>
                <w:t xml:space="preserve"> - Income Taxes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70">
              <w:r>
                <w:rPr>
                  <w:rStyle w:val="InternetLink"/>
                  <w:rFonts w:ascii="Helvetica;sans-serif" w:hAnsi="Helvetica;sans-serif"/>
                  <w:b w:val="false"/>
                  <w:color w:val="0000FF"/>
                  <w:sz w:val="20"/>
                  <w:u w:val="single"/>
                </w:rPr>
                <w:t>33</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73">
              <w:r>
                <w:rPr>
                  <w:rStyle w:val="InternetLink"/>
                  <w:rFonts w:ascii="Helvetica;sans-serif" w:hAnsi="Helvetica;sans-serif"/>
                  <w:b w:val="false"/>
                  <w:color w:val="000080"/>
                  <w:sz w:val="20"/>
                  <w:u w:val="single"/>
                </w:rPr>
                <w:t xml:space="preserve">Note </w:t>
              </w:r>
            </w:hyperlink>
            <w:hyperlink w:anchor="i94f66f6935354692926c7e49d2b4f047_73">
              <w:r>
                <w:rPr>
                  <w:rStyle w:val="InternetLink"/>
                  <w:rFonts w:ascii="Helvetica;sans-serif" w:hAnsi="Helvetica;sans-serif"/>
                  <w:b w:val="false"/>
                  <w:color w:val="000080"/>
                  <w:sz w:val="20"/>
                  <w:u w:val="single"/>
                </w:rPr>
                <w:t>10</w:t>
              </w:r>
            </w:hyperlink>
            <w:hyperlink w:anchor="i94f66f6935354692926c7e49d2b4f047_73">
              <w:r>
                <w:rPr>
                  <w:rStyle w:val="InternetLink"/>
                  <w:rFonts w:ascii="Helvetica;sans-serif" w:hAnsi="Helvetica;sans-serif"/>
                  <w:b w:val="false"/>
                  <w:color w:val="000080"/>
                  <w:sz w:val="20"/>
                  <w:u w:val="single"/>
                </w:rPr>
                <w:t xml:space="preserve"> - Securities Borrowing and Lending</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73">
              <w:r>
                <w:rPr>
                  <w:rStyle w:val="InternetLink"/>
                  <w:rFonts w:ascii="Helvetica;sans-serif" w:hAnsi="Helvetica;sans-serif"/>
                  <w:b w:val="false"/>
                  <w:color w:val="0000FF"/>
                  <w:sz w:val="20"/>
                  <w:u w:val="single"/>
                </w:rPr>
                <w:t>34</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76">
              <w:r>
                <w:rPr>
                  <w:rStyle w:val="InternetLink"/>
                  <w:rFonts w:ascii="Helvetica;sans-serif" w:hAnsi="Helvetica;sans-serif"/>
                  <w:b w:val="false"/>
                  <w:color w:val="000080"/>
                  <w:sz w:val="20"/>
                  <w:u w:val="single"/>
                </w:rPr>
                <w:t>Note 1</w:t>
              </w:r>
            </w:hyperlink>
            <w:hyperlink w:anchor="i94f66f6935354692926c7e49d2b4f047_76">
              <w:r>
                <w:rPr>
                  <w:rStyle w:val="InternetLink"/>
                  <w:rFonts w:ascii="Helvetica;sans-serif" w:hAnsi="Helvetica;sans-serif"/>
                  <w:b w:val="false"/>
                  <w:color w:val="000080"/>
                  <w:sz w:val="20"/>
                  <w:u w:val="single"/>
                </w:rPr>
                <w:t>1</w:t>
              </w:r>
            </w:hyperlink>
            <w:hyperlink w:anchor="i94f66f6935354692926c7e49d2b4f047_76">
              <w:r>
                <w:rPr>
                  <w:rStyle w:val="InternetLink"/>
                  <w:rFonts w:ascii="Helvetica;sans-serif" w:hAnsi="Helvetica;sans-serif"/>
                  <w:b w:val="false"/>
                  <w:color w:val="000080"/>
                  <w:sz w:val="20"/>
                  <w:u w:val="single"/>
                </w:rPr>
                <w:t xml:space="preserve"> - Financing Activities and Off-Balance Sheet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76">
              <w:r>
                <w:rPr>
                  <w:rStyle w:val="InternetLink"/>
                  <w:rFonts w:ascii="Helvetica;sans-serif" w:hAnsi="Helvetica;sans-serif"/>
                  <w:b w:val="false"/>
                  <w:color w:val="0000FF"/>
                  <w:sz w:val="20"/>
                  <w:u w:val="single"/>
                </w:rPr>
                <w:t>35</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79">
              <w:r>
                <w:rPr>
                  <w:rStyle w:val="InternetLink"/>
                  <w:rFonts w:ascii="Helvetica;sans-serif" w:hAnsi="Helvetica;sans-serif"/>
                  <w:b w:val="false"/>
                  <w:color w:val="000080"/>
                  <w:sz w:val="20"/>
                  <w:u w:val="single"/>
                </w:rPr>
                <w:t xml:space="preserve">Note </w:t>
              </w:r>
            </w:hyperlink>
            <w:hyperlink w:anchor="i94f66f6935354692926c7e49d2b4f047_79">
              <w:r>
                <w:rPr>
                  <w:rStyle w:val="InternetLink"/>
                  <w:rFonts w:ascii="Helvetica;sans-serif" w:hAnsi="Helvetica;sans-serif"/>
                  <w:b w:val="false"/>
                  <w:color w:val="000080"/>
                  <w:sz w:val="20"/>
                  <w:u w:val="single"/>
                </w:rPr>
                <w:t>1</w:t>
              </w:r>
            </w:hyperlink>
            <w:hyperlink w:anchor="i94f66f6935354692926c7e49d2b4f047_79">
              <w:r>
                <w:rPr>
                  <w:rStyle w:val="InternetLink"/>
                  <w:rFonts w:ascii="Helvetica;sans-serif" w:hAnsi="Helvetica;sans-serif"/>
                  <w:b w:val="false"/>
                  <w:color w:val="000080"/>
                  <w:sz w:val="20"/>
                  <w:u w:val="single"/>
                </w:rPr>
                <w:t>2</w:t>
              </w:r>
            </w:hyperlink>
            <w:hyperlink w:anchor="i94f66f6935354692926c7e49d2b4f047_79">
              <w:r>
                <w:rPr>
                  <w:rStyle w:val="InternetLink"/>
                  <w:rFonts w:ascii="Helvetica;sans-serif" w:hAnsi="Helvetica;sans-serif"/>
                  <w:b w:val="false"/>
                  <w:color w:val="000080"/>
                  <w:sz w:val="20"/>
                  <w:u w:val="single"/>
                </w:rPr>
                <w:t xml:space="preserve"> - Common Stock and Stockholders</w:t>
              </w:r>
            </w:hyperlink>
            <w:hyperlink w:anchor="i94f66f6935354692926c7e49d2b4f047_31">
              <w:r>
                <w:rPr>
                  <w:rStyle w:val="InternetLink"/>
                  <w:rFonts w:ascii="Helvetica;sans-serif" w:hAnsi="Helvetica;sans-serif"/>
                  <w:b w:val="false"/>
                  <w:color w:val="000080"/>
                  <w:sz w:val="20"/>
                  <w:u w:val="single"/>
                </w:rPr>
                <w:t>’</w:t>
              </w:r>
            </w:hyperlink>
            <w:hyperlink w:anchor="i94f66f6935354692926c7e49d2b4f047_79">
              <w:r>
                <w:rPr>
                  <w:rStyle w:val="InternetLink"/>
                  <w:rFonts w:ascii="Helvetica;sans-serif" w:hAnsi="Helvetica;sans-serif"/>
                  <w:b w:val="false"/>
                  <w:color w:val="000080"/>
                  <w:sz w:val="20"/>
                  <w:u w:val="single"/>
                </w:rPr>
                <w:t xml:space="preserve"> 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79">
              <w:r>
                <w:rPr>
                  <w:rStyle w:val="InternetLink"/>
                  <w:rFonts w:ascii="Helvetica;sans-serif" w:hAnsi="Helvetica;sans-serif"/>
                  <w:b w:val="false"/>
                  <w:color w:val="0000FF"/>
                  <w:sz w:val="20"/>
                  <w:u w:val="single"/>
                </w:rPr>
                <w:t>39</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82">
              <w:r>
                <w:rPr>
                  <w:rStyle w:val="InternetLink"/>
                  <w:rFonts w:ascii="Helvetica;sans-serif" w:hAnsi="Helvetica;sans-serif"/>
                  <w:b w:val="false"/>
                  <w:color w:val="000080"/>
                  <w:sz w:val="20"/>
                  <w:u w:val="single"/>
                </w:rPr>
                <w:t>Note 1</w:t>
              </w:r>
            </w:hyperlink>
            <w:hyperlink w:anchor="i94f66f6935354692926c7e49d2b4f047_82">
              <w:r>
                <w:rPr>
                  <w:rStyle w:val="InternetLink"/>
                  <w:rFonts w:ascii="Helvetica;sans-serif" w:hAnsi="Helvetica;sans-serif"/>
                  <w:b w:val="false"/>
                  <w:color w:val="000080"/>
                  <w:sz w:val="20"/>
                  <w:u w:val="single"/>
                </w:rPr>
                <w:t>3</w:t>
              </w:r>
            </w:hyperlink>
            <w:hyperlink w:anchor="i94f66f6935354692926c7e49d2b4f047_82">
              <w:r>
                <w:rPr>
                  <w:rStyle w:val="InternetLink"/>
                  <w:rFonts w:ascii="Helvetica;sans-serif" w:hAnsi="Helvetica;sans-serif"/>
                  <w:b w:val="false"/>
                  <w:color w:val="000080"/>
                  <w:sz w:val="20"/>
                  <w:u w:val="single"/>
                </w:rPr>
                <w:t xml:space="preserve"> - Net Income (Loss) per Share</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82">
              <w:r>
                <w:rPr>
                  <w:rStyle w:val="InternetLink"/>
                  <w:rFonts w:ascii="Helvetica;sans-serif" w:hAnsi="Helvetica;sans-serif"/>
                  <w:b w:val="false"/>
                  <w:color w:val="0000FF"/>
                  <w:sz w:val="20"/>
                  <w:u w:val="single"/>
                </w:rPr>
                <w:t>42</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85">
              <w:r>
                <w:rPr>
                  <w:rStyle w:val="InternetLink"/>
                  <w:rFonts w:ascii="Helvetica;sans-serif" w:hAnsi="Helvetica;sans-serif"/>
                  <w:b w:val="false"/>
                  <w:color w:val="000080"/>
                  <w:sz w:val="20"/>
                  <w:u w:val="single"/>
                </w:rPr>
                <w:t>Note 1</w:t>
              </w:r>
            </w:hyperlink>
            <w:hyperlink w:anchor="i94f66f6935354692926c7e49d2b4f047_85">
              <w:r>
                <w:rPr>
                  <w:rStyle w:val="InternetLink"/>
                  <w:rFonts w:ascii="Helvetica;sans-serif" w:hAnsi="Helvetica;sans-serif"/>
                  <w:b w:val="false"/>
                  <w:color w:val="000080"/>
                  <w:sz w:val="20"/>
                  <w:u w:val="single"/>
                </w:rPr>
                <w:t>4</w:t>
              </w:r>
            </w:hyperlink>
            <w:hyperlink w:anchor="i94f66f6935354692926c7e49d2b4f047_85">
              <w:r>
                <w:rPr>
                  <w:rStyle w:val="InternetLink"/>
                  <w:rFonts w:ascii="Helvetica;sans-serif" w:hAnsi="Helvetica;sans-serif"/>
                  <w:b w:val="false"/>
                  <w:color w:val="000080"/>
                  <w:sz w:val="20"/>
                  <w:u w:val="single"/>
                </w:rPr>
                <w:t xml:space="preserve"> - Leases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85">
              <w:r>
                <w:rPr>
                  <w:rStyle w:val="InternetLink"/>
                  <w:rFonts w:ascii="Helvetica;sans-serif" w:hAnsi="Helvetica;sans-serif"/>
                  <w:b w:val="false"/>
                  <w:color w:val="0000FF"/>
                  <w:sz w:val="20"/>
                  <w:u w:val="single"/>
                </w:rPr>
                <w:t>44</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88">
              <w:r>
                <w:rPr>
                  <w:rStyle w:val="InternetLink"/>
                  <w:rFonts w:ascii="Helvetica;sans-serif" w:hAnsi="Helvetica;sans-serif"/>
                  <w:b w:val="false"/>
                  <w:color w:val="000080"/>
                  <w:sz w:val="20"/>
                  <w:u w:val="single"/>
                </w:rPr>
                <w:t>Note 1</w:t>
              </w:r>
            </w:hyperlink>
            <w:hyperlink w:anchor="i94f66f6935354692926c7e49d2b4f047_88">
              <w:r>
                <w:rPr>
                  <w:rStyle w:val="InternetLink"/>
                  <w:rFonts w:ascii="Helvetica;sans-serif" w:hAnsi="Helvetica;sans-serif"/>
                  <w:b w:val="false"/>
                  <w:color w:val="000080"/>
                  <w:sz w:val="20"/>
                  <w:u w:val="single"/>
                </w:rPr>
                <w:t>5</w:t>
              </w:r>
            </w:hyperlink>
            <w:hyperlink w:anchor="i94f66f6935354692926c7e49d2b4f047_88">
              <w:r>
                <w:rPr>
                  <w:rStyle w:val="InternetLink"/>
                  <w:rFonts w:ascii="Helvetica;sans-serif" w:hAnsi="Helvetica;sans-serif"/>
                  <w:b w:val="false"/>
                  <w:color w:val="000080"/>
                  <w:sz w:val="20"/>
                  <w:u w:val="single"/>
                </w:rPr>
                <w:t xml:space="preserve"> - Commitments &amp; Contingencies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88">
              <w:r>
                <w:rPr>
                  <w:rStyle w:val="InternetLink"/>
                  <w:rFonts w:ascii="Helvetica;sans-serif" w:hAnsi="Helvetica;sans-serif"/>
                  <w:b w:val="false"/>
                  <w:color w:val="0000FF"/>
                  <w:sz w:val="20"/>
                  <w:u w:val="single"/>
                </w:rPr>
                <w:t>44</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133">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133">
              <w:r>
                <w:rPr>
                  <w:rStyle w:val="InternetLink"/>
                  <w:rFonts w:ascii="Helvetica;sans-serif" w:hAnsi="Helvetica;sans-serif"/>
                  <w:b w:val="false"/>
                  <w:color w:val="0000FF"/>
                  <w:sz w:val="20"/>
                  <w:u w:val="single"/>
                </w:rPr>
                <w:t>51</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3. </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20">
              <w:r>
                <w:rPr>
                  <w:rStyle w:val="InternetLink"/>
                  <w:rFonts w:ascii="Helvetica;sans-serif" w:hAnsi="Helvetica;sans-serif"/>
                  <w:b w:val="false"/>
                  <w:color w:val="0000FF"/>
                  <w:sz w:val="20"/>
                  <w:u w:val="single"/>
                </w:rPr>
                <w:t>Quantitative and Qualitative Disclosures About Market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20">
              <w:r>
                <w:rPr>
                  <w:rStyle w:val="InternetLink"/>
                  <w:rFonts w:ascii="Helvetica;sans-serif" w:hAnsi="Helvetica;sans-serif"/>
                  <w:b w:val="false"/>
                  <w:color w:val="0000FF"/>
                  <w:sz w:val="20"/>
                  <w:u w:val="single"/>
                </w:rPr>
                <w:t>68</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4. </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26">
              <w:r>
                <w:rPr>
                  <w:rStyle w:val="InternetLink"/>
                  <w:rFonts w:ascii="Helvetica;sans-serif" w:hAnsi="Helvetica;sans-serif"/>
                  <w:b w:val="false"/>
                  <w:color w:val="0000FF"/>
                  <w:sz w:val="20"/>
                  <w:u w:val="single"/>
                </w:rPr>
                <w:t>Controls and Procedures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26">
              <w:r>
                <w:rPr>
                  <w:rStyle w:val="InternetLink"/>
                  <w:rFonts w:ascii="Helvetica;sans-serif" w:hAnsi="Helvetica;sans-serif"/>
                  <w:b w:val="false"/>
                  <w:color w:val="0000FF"/>
                  <w:sz w:val="20"/>
                  <w:u w:val="single"/>
                </w:rPr>
                <w:t>69</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29">
              <w:r>
                <w:rPr>
                  <w:rStyle w:val="InternetLink"/>
                  <w:rFonts w:ascii="Helvetica;sans-serif" w:hAnsi="Helvetica;sans-serif"/>
                  <w:b/>
                  <w:color w:val="0000FF"/>
                  <w:sz w:val="20"/>
                  <w:u w:val="single"/>
                </w:rPr>
                <w:t>PART II - 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32">
              <w:r>
                <w:rPr>
                  <w:rStyle w:val="InternetLink"/>
                  <w:rFonts w:ascii="Helvetica;sans-serif" w:hAnsi="Helvetica;sans-serif"/>
                  <w:b w:val="false"/>
                  <w:color w:val="0000FF"/>
                  <w:sz w:val="20"/>
                  <w:u w:val="single"/>
                </w:rPr>
                <w:t>Legal Proceedings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32">
              <w:r>
                <w:rPr>
                  <w:rStyle w:val="InternetLink"/>
                  <w:rFonts w:ascii="Helvetica;sans-serif" w:hAnsi="Helvetica;sans-serif"/>
                  <w:b w:val="false"/>
                  <w:color w:val="0000FF"/>
                  <w:sz w:val="20"/>
                  <w:u w:val="single"/>
                </w:rPr>
                <w:t>71</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1A. </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35">
              <w:r>
                <w:rPr>
                  <w:rStyle w:val="InternetLink"/>
                  <w:rFonts w:ascii="Helvetica;sans-serif" w:hAnsi="Helvetica;sans-serif"/>
                  <w:b w:val="false"/>
                  <w:color w:val="0000FF"/>
                  <w:sz w:val="20"/>
                  <w:u w:val="single"/>
                </w:rPr>
                <w:t>Risk Factors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35">
              <w:r>
                <w:rPr>
                  <w:rStyle w:val="InternetLink"/>
                  <w:rFonts w:ascii="Helvetica;sans-serif" w:hAnsi="Helvetica;sans-serif"/>
                  <w:b w:val="false"/>
                  <w:color w:val="0000FF"/>
                  <w:sz w:val="20"/>
                  <w:u w:val="single"/>
                </w:rPr>
                <w:t>72</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38">
              <w:r>
                <w:rPr>
                  <w:rStyle w:val="InternetLink"/>
                  <w:rFonts w:ascii="Helvetica;sans-serif" w:hAnsi="Helvetica;sans-serif"/>
                  <w:b w:val="false"/>
                  <w:color w:val="0000FF"/>
                  <w:sz w:val="20"/>
                  <w:u w:val="single"/>
                </w:rPr>
                <w:t>Unregistered Sales of Equity Securities and Use of Proceeds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38">
              <w:r>
                <w:rPr>
                  <w:rStyle w:val="InternetLink"/>
                  <w:rFonts w:ascii="Helvetica;sans-serif" w:hAnsi="Helvetica;sans-serif"/>
                  <w:b w:val="false"/>
                  <w:color w:val="0000FF"/>
                  <w:sz w:val="20"/>
                  <w:u w:val="single"/>
                </w:rPr>
                <w:t>150</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3.</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41">
              <w:r>
                <w:rPr>
                  <w:rStyle w:val="InternetLink"/>
                  <w:rFonts w:ascii="Helvetica;sans-serif" w:hAnsi="Helvetica;sans-serif"/>
                  <w:b w:val="false"/>
                  <w:color w:val="0000FF"/>
                  <w:sz w:val="20"/>
                  <w:u w:val="single"/>
                </w:rPr>
                <w:t>Defaults Upon Senior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41">
              <w:r>
                <w:rPr>
                  <w:rStyle w:val="InternetLink"/>
                  <w:rFonts w:ascii="Helvetica;sans-serif" w:hAnsi="Helvetica;sans-serif"/>
                  <w:b w:val="false"/>
                  <w:color w:val="0000FF"/>
                  <w:sz w:val="20"/>
                  <w:u w:val="single"/>
                </w:rPr>
                <w:t>151</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4.</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44">
              <w:r>
                <w:rPr>
                  <w:rStyle w:val="InternetLink"/>
                  <w:rFonts w:ascii="Helvetica;sans-serif" w:hAnsi="Helvetica;sans-serif"/>
                  <w:b w:val="false"/>
                  <w:color w:val="0000FF"/>
                  <w:sz w:val="20"/>
                  <w:u w:val="single"/>
                </w:rPr>
                <w:t>Mine Safety Disclosures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44">
              <w:r>
                <w:rPr>
                  <w:rStyle w:val="InternetLink"/>
                  <w:rFonts w:ascii="Helvetica;sans-serif" w:hAnsi="Helvetica;sans-serif"/>
                  <w:b w:val="false"/>
                  <w:color w:val="0000FF"/>
                  <w:sz w:val="20"/>
                  <w:u w:val="single"/>
                </w:rPr>
                <w:t>151</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5.</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47">
              <w:r>
                <w:rPr>
                  <w:rStyle w:val="InternetLink"/>
                  <w:rFonts w:ascii="Helvetica;sans-serif" w:hAnsi="Helvetica;sans-serif"/>
                  <w:b w:val="false"/>
                  <w:color w:val="0000FF"/>
                  <w:sz w:val="20"/>
                  <w:u w:val="single"/>
                </w:rPr>
                <w:t>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47">
              <w:r>
                <w:rPr>
                  <w:rStyle w:val="InternetLink"/>
                  <w:rFonts w:ascii="Helvetica;sans-serif" w:hAnsi="Helvetica;sans-serif"/>
                  <w:b w:val="false"/>
                  <w:color w:val="0000FF"/>
                  <w:sz w:val="20"/>
                  <w:u w:val="single"/>
                </w:rPr>
                <w:t>151</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6.</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56">
              <w:r>
                <w:rPr>
                  <w:rStyle w:val="InternetLink"/>
                  <w:rFonts w:ascii="Helvetica;sans-serif" w:hAnsi="Helvetica;sans-serif"/>
                  <w:b w:val="false"/>
                  <w:color w:val="0000FF"/>
                  <w:sz w:val="20"/>
                  <w:u w:val="single"/>
                </w:rPr>
                <w:t>Exhibit Index</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56">
              <w:r>
                <w:rPr>
                  <w:rStyle w:val="InternetLink"/>
                  <w:rFonts w:ascii="Helvetica;sans-serif" w:hAnsi="Helvetica;sans-serif"/>
                  <w:b w:val="false"/>
                  <w:color w:val="0000FF"/>
                  <w:sz w:val="20"/>
                  <w:u w:val="single"/>
                </w:rPr>
                <w:t>152</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f66f6935354692926c7e49d2b4f047_259">
              <w:r>
                <w:rPr>
                  <w:rStyle w:val="InternetLink"/>
                  <w:rFonts w:ascii="Helvetica;sans-serif" w:hAnsi="Helvetica;sans-serif"/>
                  <w:b w:val="false"/>
                  <w:color w:val="0000FF"/>
                  <w:sz w:val="20"/>
                  <w:u w:val="single"/>
                </w:rPr>
                <w:t>Signatures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f66f6935354692926c7e49d2b4f047_259">
              <w:r>
                <w:rPr>
                  <w:rStyle w:val="InternetLink"/>
                  <w:rFonts w:ascii="Helvetica;sans-serif" w:hAnsi="Helvetica;sans-serif"/>
                  <w:b w:val="false"/>
                  <w:color w:val="0000FF"/>
                  <w:sz w:val="20"/>
                  <w:u w:val="single"/>
                </w:rPr>
                <w:t>153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48310"/>
                <wp:effectExtent l="0" t="0" r="0" b="0"/>
                <wp:wrapNone/>
                <wp:docPr id="3" name="Frame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20"/>
        <w:jc w:val="center"/>
        <w:rPr>
          <w:rFonts w:ascii="Helvetica;sans-serif" w:hAnsi="Helvetica;sans-serif"/>
          <w:b w:val="false"/>
          <w:color w:val="000000"/>
          <w:sz w:val="28"/>
        </w:rPr>
      </w:pPr>
      <w:r>
        <w:rPr>
          <w:rFonts w:ascii="Helvetica;sans-serif" w:hAnsi="Helvetica;sans-serif"/>
          <w:b w:val="false"/>
          <w:color w:val="000000"/>
          <w:sz w:val="28"/>
        </w:rPr>
        <w:t>Glossary of Terms</w:t>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The following terms, abbreviations and acronyms are used to identify frequently used terms in this report:</w:t>
      </w:r>
    </w:p>
    <w:tbl>
      <w:tblPr>
        <w:tblW w:w="10205" w:type="dxa"/>
        <w:jc w:val="center"/>
        <w:tblInd w:w="0" w:type="dxa"/>
        <w:tblLayout w:type="fixed"/>
        <w:tblCellMar>
          <w:top w:w="28" w:type="dxa"/>
          <w:left w:w="28" w:type="dxa"/>
          <w:bottom w:w="28" w:type="dxa"/>
          <w:right w:w="28" w:type="dxa"/>
        </w:tblCellMar>
      </w:tblPr>
      <w:tblGrid>
        <w:gridCol w:w="395"/>
        <w:gridCol w:w="279"/>
        <w:gridCol w:w="200"/>
        <w:gridCol w:w="1544"/>
        <w:gridCol w:w="1327"/>
        <w:gridCol w:w="1330"/>
        <w:gridCol w:w="402"/>
        <w:gridCol w:w="318"/>
        <w:gridCol w:w="287"/>
        <w:gridCol w:w="1329"/>
        <w:gridCol w:w="1148"/>
        <w:gridCol w:w="1646"/>
      </w:tblGrid>
      <w:tr>
        <w:trPr/>
        <w:tc>
          <w:tcPr>
            <w:tcW w:w="39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Abbreviation and Meaning</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1940 Act</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Helvetica;sans-serif" w:hAnsi="Helvetica;sans-serif"/>
                <w:b w:val="false"/>
                <w:color w:val="000000"/>
                <w:sz w:val="11"/>
              </w:rPr>
            </w:pPr>
            <w:r>
              <w:rPr>
                <w:rFonts w:ascii="Helvetica;sans-serif" w:hAnsi="Helvetica;sans-serif"/>
                <w:b w:val="false"/>
                <w:color w:val="000000"/>
                <w:sz w:val="11"/>
              </w:rPr>
              <w:t>Investment Company Act of 1940, as amended</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DCM</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Designated contract markets</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2013 Plan</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Amended and Restated 2013 Stock Plan, as amended</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Helvetica;sans-serif" w:hAnsi="Helvetica;sans-serif"/>
                <w:b/>
                <w:color w:val="000000"/>
                <w:sz w:val="11"/>
              </w:rPr>
            </w:pPr>
            <w:r>
              <w:rPr>
                <w:rFonts w:ascii="Helvetica;sans-serif" w:hAnsi="Helvetica;sans-serif"/>
                <w:b/>
                <w:color w:val="000000"/>
                <w:sz w:val="11"/>
              </w:rPr>
              <w:t>DFAL</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Helvetica;sans-serif" w:hAnsi="Helvetica;sans-serif"/>
                <w:b w:val="false"/>
                <w:color w:val="000000"/>
                <w:sz w:val="11"/>
              </w:rPr>
            </w:pPr>
            <w:r>
              <w:rPr>
                <w:rFonts w:ascii="Helvetica;sans-serif" w:hAnsi="Helvetica;sans-serif"/>
                <w:b w:val="false"/>
                <w:color w:val="000000"/>
                <w:sz w:val="11"/>
              </w:rPr>
              <w:t>Digital Financial Assets Law</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2020 Plan</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2020 Equity Incentive Plan, as amended</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DOJ</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U.S. Department of Justice</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2021 Plan</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2021 Omnibus Incentive Plan</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color w:val="000000"/>
                <w:sz w:val="11"/>
              </w:rPr>
            </w:pPr>
            <w:r>
              <w:rPr>
                <w:rFonts w:ascii="Helvetica;sans-serif" w:hAnsi="Helvetica;sans-serif"/>
                <w:b/>
                <w:color w:val="000000"/>
                <w:sz w:val="11"/>
              </w:rPr>
              <w:t>EBS</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Helvetica;sans-serif" w:hAnsi="Helvetica;sans-serif"/>
                <w:b w:val="false"/>
                <w:color w:val="000000"/>
                <w:sz w:val="11"/>
              </w:rPr>
            </w:pPr>
            <w:r>
              <w:rPr>
                <w:rFonts w:ascii="Helvetica;sans-serif" w:hAnsi="Helvetica;sans-serif"/>
                <w:b w:val="false"/>
                <w:color w:val="000000"/>
                <w:sz w:val="11"/>
              </w:rPr>
              <w:t>Electronic Blue Sheets</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Adjusted EBITDA</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Adjusted earnings before interest, taxes, depreciation, and amortization</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EEA</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European Economic Area</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Advisers Act</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Investment Advisers Act of 1940</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EFTA</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Electronic Funds Transfer Act</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ASU</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Accounting Standards Update</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EPS</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Earnings (loss) per share</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AI</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Artificial Intelligence</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Equity Exchange Rights</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A right (but not an obligation) each of our founders has to require us to exchange, for shares of Class B common stock, any shares of Class A common stock received by them upon the vesting and settlement of pre-IPO RSUs, pursuant to the equity exchange right agreements entered into between us and each of our founders in connection with our IPO</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AML</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Anti-money Laundering</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ERM</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Enterprise Risk Management</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ASC</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Accounting Standards Codification</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ESPP</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Employee Share Purchase Plan</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Barclays</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Barclays Bank PLC</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ETPs</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Exchange Traded Products</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Binance</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Binance Holdings Ltd., and its affiliated U.S. entity, among others</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ETR</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Effective tax rate</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Bitstamp</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Bitstamp Ltd.</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EU</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The European Union</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BOATS</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Blue Oceans ATS, LLC</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Exchange Act</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Securities Exchange Act of 1934, as amended</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BSV</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Bitcoin SV</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FASB</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Financial Accounting Standards Board</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Bylaws</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Amended and Restated Bylaws</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FCA</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Financial Conduct Authority</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Canadian dollars</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FCM</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Futures Commission Merchant</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CAGO</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California Attorney General’s Office</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FCPA</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Foreign Corrupt Practices Act</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Capped Calls</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both"/>
              <w:rPr>
                <w:rFonts w:ascii="Helvetica;sans-serif" w:hAnsi="Helvetica;sans-serif"/>
                <w:b w:val="false"/>
                <w:color w:val="000000"/>
                <w:sz w:val="11"/>
              </w:rPr>
            </w:pPr>
            <w:r>
              <w:rPr>
                <w:rFonts w:ascii="Helvetica;sans-serif" w:hAnsi="Helvetica;sans-serif"/>
                <w:b w:val="false"/>
                <w:color w:val="000000"/>
                <w:sz w:val="11"/>
              </w:rPr>
              <w:t>On June 22, 2026, in connection with the pricing of the Convertible Notes, and on June 23, 2026, in connection with the initial purchasers’ exercise in full of their option to purchase additional Notes, we entered into privately negotiated capped calls transactions with certain of the initial purchasers or their respective affiliates and certain other financial institutions.</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FDIC</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Federal Deposit Insurance Corporation</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CAT</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Consolidated Audit Trail</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Final Rules</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Final rules under SEC Release No. 34-99678 and No. 33-11275, “The Enhancement and Standardization of Climate-Related Disclosures for Investors”</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CCML</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Coinsquare Capital Markets Ltd.</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FinCEN</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Financial Crimes Enforcement Network</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CEA</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U.S. Commodity Exchange Act</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FINRA</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Financial Industry Regulatory Authority</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CEO</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Chief Executive Officer</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Fixed-Term Securities Lending Agreements</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Fixed-term securities lending agreements with two financial institution counterparties, as described below</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CFPB</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Consumer Financial Protection Bureau</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Founder Affiliates</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Founders related entities</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CFTC</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Commodity Futures Trading Commission</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Founders’ Voting Agreement</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Voting Agreement, dated July 26, 2021, among RHM, Baiju Bhatt, Vladimir Tenev, and certain related entities</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Charter</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Amended and Restated Certificate of Incorporation</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Fourth parties</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Third parties’ common suppliers or vendors</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CIP</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Customer identification program</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Futures</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Futures contracts, which includes options on futures and swaps, including event contracts</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Circle</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Circle Internet Financial, LLC</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GAAP</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Generally accepted accounting principles in the United States</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CIRO</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Canadian Investment Regulatory Organization</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GENIUS Act</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Guiding and Establishing National Innovation for U.S. Stablecoins Act</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CLARITY Act</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Digital Asset Market Clarity Act of 2025</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GHG</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Greenhouse gas</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Coastal Bank</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Coastal Community Bank</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Goldman Sachs</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Goldman Sachs USA</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Code</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Internal Revenue Code of 1986, as amended</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Indenture</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Indenture for Convertible Notes.</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Coinbase</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Coinbase Global, Inc., and Coinbase, Inc.</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IPO</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Initial public offering</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Convertible Notes</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 xml:space="preserve">0.00% Convertible senior notes issued on June 25, 2026. </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IRA</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Individual Retirement Account</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Crypto Listing Frameworks</w:t>
            </w:r>
          </w:p>
        </w:tc>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Our internal policies and procedures with respect to the listing of cryptocurrencies on our platforms</w:t>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ISOs</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Incentive stock options</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Crypto Transfers</w:t>
            </w:r>
          </w:p>
        </w:tc>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Cryptocurrency transfers</w:t>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Kraken</w:t>
            </w:r>
          </w:p>
        </w:tc>
        <w:tc>
          <w:tcPr>
            <w:tcW w:w="4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Payward, Inc. and Payward Ventures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48310"/>
                <wp:effectExtent l="0" t="0" r="0" b="0"/>
                <wp:wrapNone/>
                <wp:docPr id="4" name="Frame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00"/>
        <w:gridCol w:w="401"/>
        <w:gridCol w:w="402"/>
        <w:gridCol w:w="1558"/>
        <w:gridCol w:w="1506"/>
        <w:gridCol w:w="1512"/>
        <w:gridCol w:w="422"/>
        <w:gridCol w:w="387"/>
        <w:gridCol w:w="406"/>
        <w:gridCol w:w="1001"/>
        <w:gridCol w:w="871"/>
        <w:gridCol w:w="1239"/>
      </w:tblGrid>
      <w:tr>
        <w:trPr/>
        <w:tc>
          <w:tcPr>
            <w:tcW w:w="5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Market-Based RSUs</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RSUs that vest upon the satisfaction of all the following conditions: time-based service conditions, performance-based conditions, and market-based conditions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RHY</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Robinhood Money, LLC</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Market Makers</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Non-exchange liquidity providers</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RIAs</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Registered Investment Advisors</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MAS</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Monetary Authority of Singapore</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RITA</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Residual Interest Targeted Amount</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MIAXdx</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MIAX Derivatives Exchange</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Robinhood Credit</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Robinhood Credit, Inc.</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MiCA</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Markets in Crypto-Assets Regulation</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Rothera</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Rothera LLC</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MiFID</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Markets in Financial Instruments Directive II</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Rothera E&amp;C</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Rothera Exchange and Clearing LLC (formerly LedgerX LLC, doing business as MIAXdx)</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Mizuho</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Mizuho Bank, Ltd</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RSAs</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Restricted stock awards</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MSD</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Massachusetts Securities Division</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RSUs</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Restricted stock units</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MSLA</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Master securities loan agreement</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RVI</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Robinhood Ventures Fund I</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NASAA</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North American Securities Association</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Safety Committee</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Safety, Risk and Regulatory Committee of the board of directors</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Net Capital Rule</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Rule 15c3-1 under the Securities Exchange Act of 1934, as amended</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SAR</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Suspicious activity reporting</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NFA</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National Futures Association</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SARs</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Stock appreciation rights</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NMS</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National market system</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SBC</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Share-based compensation</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NOLs</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Net operating loss carryforwards</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SEC</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U.S. Securities and Exchange Commission</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NSCC</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National Securities Clearing Corporation</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SEC Staff</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The Staff of the SEC</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NSOs</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Non-statutory stock options</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Securities Act</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Securities Act of 1933, as amended</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NYDFS</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New York State Department of Financial Services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Sherwood Media</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Sherwood Media, LLC</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NYSE</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New York Stock Exchange</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SIG</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Susquehanna International Group</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OECD</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Organization for Economic Cooperation and Development</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SIPC</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Securities Investor Protection Corporation</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OFAC</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U.S. Department of the Treasury’s Office of Foreign Assets Controls</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SOFR</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Secured Overnight Financing Rate</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PFOF</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Payment for order flow</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SPV</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Special purpose vehicle</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Prior Repurchase Program</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Prior share repurchase authorizations previously approved by the Board</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SROs</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Self-Regulatory Organizations</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Product-market fit</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The need to adapt, localize, and position our products for specific countries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Sutton</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Sutton Bank</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RAM</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Robinhood Asset Management, LLC</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SVB</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Silicon Valley Bank</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Repurchase Program</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Share repurchase program</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Tick Size and Access Fee Cap Rules</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Rules related to order tick size and access fee caps adopted by the SEC in September 2024</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RFIA</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Responsible Financial Innovation Act of 2025</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Time-Based RSUs</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Time-based RSUs that vest upon the satisfaction of a time-based service condition</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RHC</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Robinhood Crypto, LLC</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TradePMR</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Trade-PMR, Inc.</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RHD</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Robinhood Derivatives, LLC</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TRF</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Trade Reporting Facilities</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RHEU</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Robinhood Europe, UAB</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Trust</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Credit Card Funding Trust</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RHF</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Robinhood Financial LLC</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U.K.</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United Kingdom</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RHM March 2026 Credit Agreement</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Third Amended and Restated Credit Agreement, dated as of March 21, 2025, among RHM, as borrower, and a syndicate of banks, as amended by the Second Amendment, dated as of March 9, 2026</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USAO</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The United States Attorney’s Office for the Northern District of California</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RHS</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Robinhood Securities, LLC</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USA Patriot Act</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Uniting and Strengthening America by Providing Appropriate Tools Required to Intercept and Obstruct Terrorism Act of 2001</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1"/>
              </w:rPr>
            </w:pPr>
            <w:r>
              <w:rPr>
                <w:rFonts w:ascii="Helvetica;sans-serif" w:hAnsi="Helvetica;sans-serif"/>
                <w:b/>
                <w:color w:val="000000"/>
                <w:sz w:val="11"/>
              </w:rPr>
              <w:t>RHS March 2026 Credit Agreement</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Helvetica;sans-serif" w:hAnsi="Helvetica;sans-serif"/>
                <w:b w:val="false"/>
                <w:color w:val="000000"/>
                <w:sz w:val="11"/>
              </w:rPr>
            </w:pPr>
            <w:r>
              <w:rPr>
                <w:rFonts w:ascii="Helvetica;sans-serif" w:hAnsi="Helvetica;sans-serif"/>
                <w:b w:val="false"/>
                <w:color w:val="000000"/>
                <w:sz w:val="11"/>
              </w:rPr>
              <w:t>Fifth Amended and Restated Credit Agreement, dated as of March 20, 2026, among RHS, as borrower, the lenders party thereto, and JPMorgan Chase Bank, N.A., as administrative agent</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USDC</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US Dollar Coin, issued by Circle Internet Group, Inc</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RHUK</w:t>
            </w:r>
          </w:p>
        </w:tc>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Robinhood U.K. Ltd</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VIE</w:t>
            </w:r>
          </w:p>
        </w:tc>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Variable interest entity</w:t>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RHV</w:t>
            </w:r>
          </w:p>
        </w:tc>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Robinhood Ventures DE, LLC</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1"/>
              </w:rPr>
            </w:pPr>
            <w:r>
              <w:rPr>
                <w:rFonts w:ascii="Helvetica;sans-serif" w:hAnsi="Helvetica;sans-serif"/>
                <w:b/>
                <w:color w:val="000000"/>
                <w:sz w:val="11"/>
              </w:rPr>
              <w:t>WF</w:t>
            </w:r>
          </w:p>
        </w:tc>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1"/>
              </w:rPr>
            </w:pPr>
            <w:r>
              <w:rPr>
                <w:rFonts w:ascii="Helvetica;sans-serif" w:hAnsi="Helvetica;sans-serif"/>
                <w:b w:val="false"/>
                <w:color w:val="000000"/>
                <w:sz w:val="11"/>
              </w:rPr>
              <w:t>Wells Fargo Bank</w:t>
            </w:r>
          </w:p>
        </w:tc>
      </w:tr>
      <w:tr>
        <w:trPr/>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48310"/>
                <wp:effectExtent l="0" t="0" r="0" b="0"/>
                <wp:wrapNone/>
                <wp:docPr id="5" name="Frame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76"/>
        <w:gridCol w:w="355"/>
        <w:gridCol w:w="355"/>
        <w:gridCol w:w="2945"/>
        <w:gridCol w:w="2378"/>
        <w:gridCol w:w="3396"/>
      </w:tblGrid>
      <w:tr>
        <w:trPr/>
        <w:tc>
          <w:tcPr>
            <w:tcW w:w="77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Key Performance Metrics Terms</w:t>
            </w:r>
          </w:p>
        </w:tc>
      </w:tr>
      <w:tr>
        <w:trPr/>
        <w:tc>
          <w:tcPr>
            <w:tcW w:w="10205" w:type="dxa"/>
            <w:gridSpan w:val="6"/>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 xml:space="preserve">We use the following key performance metrics to help us evaluate our business, identify trends affecting our business, formulate business plans, and make strategic decisions. </w:t>
            </w:r>
          </w:p>
        </w:tc>
      </w:tr>
      <w:tr>
        <w:trPr/>
        <w:tc>
          <w:tcPr>
            <w:tcW w:w="14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4"/>
              </w:rPr>
            </w:pPr>
            <w:r>
              <w:rPr>
                <w:rFonts w:ascii="Helvetica;sans-serif" w:hAnsi="Helvetica;sans-serif"/>
                <w:b/>
                <w:color w:val="000000"/>
                <w:sz w:val="14"/>
              </w:rPr>
              <w:t>ARPU</w:t>
            </w:r>
          </w:p>
        </w:tc>
        <w:tc>
          <w:tcPr>
            <w:tcW w:w="871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Helvetica;sans-serif" w:hAnsi="Helvetica;sans-serif"/>
                <w:b w:val="false"/>
                <w:color w:val="000000"/>
                <w:sz w:val="14"/>
              </w:rPr>
            </w:pPr>
            <w:r>
              <w:rPr>
                <w:rFonts w:ascii="Helvetica;sans-serif" w:hAnsi="Helvetica;sans-serif"/>
                <w:b w:val="false"/>
                <w:color w:val="000000"/>
                <w:sz w:val="14"/>
              </w:rPr>
              <w:t>We define Average Revenue Per User, or ARPU, as total revenue for a given period divided by the average number of Funded Customers on the last day of that period and the last day of the immediately preceding period. Figures in this Form 10-Q represent ARPU annualized for each three-month period presented</w:t>
            </w:r>
          </w:p>
        </w:tc>
      </w:tr>
      <w:tr>
        <w:trPr/>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4"/>
              </w:rPr>
            </w:pPr>
            <w:r>
              <w:rPr>
                <w:rFonts w:ascii="Helvetica;sans-serif" w:hAnsi="Helvetica;sans-serif"/>
                <w:b/>
                <w:color w:val="000000"/>
                <w:sz w:val="14"/>
              </w:rPr>
              <w:t>Funded Customers</w:t>
            </w:r>
          </w:p>
        </w:tc>
        <w:tc>
          <w:tcPr>
            <w:tcW w:w="871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both"/>
              <w:rPr>
                <w:rFonts w:ascii="Helvetica;sans-serif" w:hAnsi="Helvetica;sans-serif"/>
                <w:b w:val="false"/>
                <w:color w:val="000000"/>
                <w:sz w:val="14"/>
              </w:rPr>
            </w:pPr>
            <w:r>
              <w:rPr>
                <w:rFonts w:ascii="Helvetica;sans-serif" w:hAnsi="Helvetica;sans-serif"/>
                <w:b w:val="false"/>
                <w:color w:val="000000"/>
                <w:sz w:val="14"/>
              </w:rPr>
              <w:t>We define a Funded Customer as a unique person who has at least one account with a Robinhood entity and, within the past 45 calendar days (a) had an account balance that was greater than zero (excluding amounts that are deposited into a Funded Customer account by the Company with no action taken by the unique person) or (b) completed a transaction using any such account. Individuals who share a funded joint investing account are each considered to be a Funded Customer. Starting in June 2026, customers of WonderFi are also considered Funded Customers.</w:t>
            </w:r>
          </w:p>
        </w:tc>
      </w:tr>
      <w:tr>
        <w:trPr/>
        <w:tc>
          <w:tcPr>
            <w:tcW w:w="14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4"/>
              </w:rPr>
            </w:pPr>
            <w:r>
              <w:rPr>
                <w:rFonts w:ascii="Helvetica;sans-serif" w:hAnsi="Helvetica;sans-serif"/>
                <w:b/>
                <w:color w:val="000000"/>
                <w:sz w:val="14"/>
              </w:rPr>
              <w:t>Net Deposits</w:t>
            </w:r>
          </w:p>
        </w:tc>
        <w:tc>
          <w:tcPr>
            <w:tcW w:w="871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Helvetica;sans-serif" w:hAnsi="Helvetica;sans-serif"/>
                <w:b w:val="false"/>
                <w:color w:val="000000"/>
                <w:sz w:val="14"/>
              </w:rPr>
            </w:pPr>
            <w:r>
              <w:rPr>
                <w:rFonts w:ascii="Helvetica;sans-serif" w:hAnsi="Helvetica;sans-serif"/>
                <w:b w:val="false"/>
                <w:color w:val="000000"/>
                <w:sz w:val="14"/>
              </w:rPr>
              <w:t xml:space="preserve">We define Net Deposits as all cash deposits and asset transfers from customers, as well as dividends, interest, staking rewards, and cash or assets earned in connection with Company promotions (such as account transfer and retirement match incentives, free stock bonuses) received by customers, net of reversals, customer cash withdrawals, margin and lending interest, Robinhood Gold subscription fees, and assets transferred off of our platforms for a stated period. As previously disclosed, due to data limitations we did not include TradePMR client figures in our Net Deposits key performance metric prior to March 2026. Starting in March 2026, Net Deposits include results from TradePMR. Starting in June 2026, Net Deposits also include results from WonderFi. </w:t>
            </w:r>
          </w:p>
        </w:tc>
      </w:tr>
      <w:tr>
        <w:trPr/>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4"/>
              </w:rPr>
            </w:pPr>
            <w:r>
              <w:rPr>
                <w:rFonts w:ascii="Helvetica;sans-serif" w:hAnsi="Helvetica;sans-serif"/>
                <w:b/>
                <w:color w:val="000000"/>
                <w:sz w:val="14"/>
              </w:rPr>
              <w:t>Total Platform Assets</w:t>
            </w:r>
          </w:p>
        </w:tc>
        <w:tc>
          <w:tcPr>
            <w:tcW w:w="871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both"/>
              <w:rPr>
                <w:rFonts w:ascii="Helvetica;sans-serif" w:hAnsi="Helvetica;sans-serif"/>
                <w:b w:val="false"/>
                <w:color w:val="000000"/>
                <w:sz w:val="14"/>
              </w:rPr>
            </w:pPr>
            <w:r>
              <w:rPr>
                <w:rFonts w:ascii="Helvetica;sans-serif" w:hAnsi="Helvetica;sans-serif"/>
                <w:b w:val="false"/>
                <w:color w:val="000000"/>
                <w:sz w:val="14"/>
              </w:rPr>
              <w:t>We define Total Platform Assets as the sum of the fair value of all equities, options, cryptocurrency, futures (including options on futures and swaps, including event contracts), cash held by users in their accounts, net of receivables from users (previously reported as Assets Under Custody), and any such assets managed by RIAs using TradePMR’s platform that are not custodied by Robinhood, as of a stated date or period end on a trade date basis. Net Deposits and net market gains (losses) drive the change in Total Platform Assets in any given period. Starting in June 2025, the fair value of all cryptocurrency includes cryptocurrency on Bitstamp. Starting in June 2026, the fair value of all cryptocurrency also includes cryptocurrency on WonderFi. Total Platform Assets also include cryptocurrency lent through platform-enabled lending programs, where customers may recall such assets at any time through the platform.</w:t>
            </w:r>
          </w:p>
        </w:tc>
      </w:tr>
      <w:tr>
        <w:trPr/>
        <w:tc>
          <w:tcPr>
            <w:tcW w:w="148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rFonts w:ascii="Helvetica;sans-serif" w:hAnsi="Helvetica;sans-serif"/>
                <w:b/>
                <w:color w:val="000000"/>
                <w:sz w:val="14"/>
              </w:rPr>
            </w:pPr>
            <w:r>
              <w:rPr>
                <w:rFonts w:ascii="Helvetica;sans-serif" w:hAnsi="Helvetica;sans-serif"/>
                <w:b/>
                <w:color w:val="000000"/>
                <w:sz w:val="14"/>
              </w:rPr>
              <w:t>Robinhood Gold Subscribers</w:t>
            </w:r>
          </w:p>
        </w:tc>
        <w:tc>
          <w:tcPr>
            <w:tcW w:w="8719"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both"/>
              <w:rPr>
                <w:rFonts w:ascii="Helvetica;sans-serif" w:hAnsi="Helvetica;sans-serif"/>
                <w:b w:val="false"/>
                <w:color w:val="000000"/>
                <w:sz w:val="14"/>
              </w:rPr>
            </w:pPr>
            <w:r>
              <w:rPr>
                <w:rFonts w:ascii="Helvetica;sans-serif" w:hAnsi="Helvetica;sans-serif"/>
                <w:b w:val="false"/>
                <w:color w:val="000000"/>
                <w:sz w:val="14"/>
              </w:rPr>
              <w:t>We define a Robinhood Gold Subscriber as a unique person who has at least one account with a Robinhood entity and who, as of the end of the relevant period (a) is subscribed to Robinhood Gold and (b) has made at least one Robinhood Gold subscription fee payment.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48310"/>
                <wp:effectExtent l="0" t="0" r="0" b="0"/>
                <wp:wrapNone/>
                <wp:docPr id="6" name="Frame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457"/>
        <w:gridCol w:w="331"/>
        <w:gridCol w:w="256"/>
        <w:gridCol w:w="2826"/>
        <w:gridCol w:w="2581"/>
        <w:gridCol w:w="3754"/>
      </w:tblGrid>
      <w:tr>
        <w:trPr/>
        <w:tc>
          <w:tcPr>
            <w:tcW w:w="45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Other Glossary Terms</w:t>
            </w:r>
          </w:p>
        </w:tc>
      </w:tr>
      <w:tr>
        <w:trPr/>
        <w:tc>
          <w:tcPr>
            <w:tcW w:w="10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ACATS</w:t>
            </w:r>
          </w:p>
        </w:tc>
        <w:tc>
          <w:tcPr>
            <w:tcW w:w="916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both"/>
              <w:rPr>
                <w:rFonts w:ascii="Helvetica;sans-serif" w:hAnsi="Helvetica;sans-serif"/>
                <w:b w:val="false"/>
                <w:color w:val="000000"/>
                <w:sz w:val="14"/>
              </w:rPr>
            </w:pPr>
            <w:r>
              <w:rPr>
                <w:rFonts w:ascii="Helvetica;sans-serif" w:hAnsi="Helvetica;sans-serif"/>
                <w:b w:val="false"/>
                <w:color w:val="000000"/>
                <w:sz w:val="14"/>
              </w:rPr>
              <w:t>Automated Customer Account Transfer Service</w:t>
              <w:br/>
              <w:t>A system that automates and standardizes procedures for the transfer of assets in a customer account from one brokerage firm and/or bank to another.</w:t>
            </w:r>
          </w:p>
        </w:tc>
      </w:tr>
      <w:tr>
        <w:trPr/>
        <w:tc>
          <w:tcPr>
            <w:tcW w:w="104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4"/>
              </w:rPr>
            </w:pPr>
            <w:r>
              <w:rPr>
                <w:rFonts w:ascii="Helvetica;sans-serif" w:hAnsi="Helvetica;sans-serif"/>
                <w:b/>
                <w:color w:val="000000"/>
                <w:sz w:val="14"/>
              </w:rPr>
              <w:t>Cash Sweep</w:t>
            </w:r>
          </w:p>
        </w:tc>
        <w:tc>
          <w:tcPr>
            <w:tcW w:w="916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both"/>
              <w:rPr>
                <w:rFonts w:ascii="Helvetica;sans-serif" w:hAnsi="Helvetica;sans-serif"/>
                <w:b w:val="false"/>
                <w:color w:val="000000"/>
                <w:sz w:val="14"/>
              </w:rPr>
            </w:pPr>
            <w:r>
              <w:rPr>
                <w:rFonts w:ascii="Helvetica;sans-serif" w:hAnsi="Helvetica;sans-serif"/>
                <w:b w:val="false"/>
                <w:color w:val="000000"/>
                <w:sz w:val="14"/>
              </w:rPr>
              <w:t>We define Cash Sweep as the period-end total amount of participating users’ uninvested brokerage and banking cash that has been automatically “swept” or moved from their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 This includes balances from customers of RIAs using TradePMR’s platform. In February 2026, we updated our brokerage High-Yield Cash program to fund growth in margin lending, resulting in over $6 billion of Cash Sweep balances moving to Cash and Deposits in the form of customer free credit balances.</w:t>
            </w:r>
          </w:p>
        </w:tc>
      </w:tr>
      <w:tr>
        <w:trPr/>
        <w:tc>
          <w:tcPr>
            <w:tcW w:w="10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Churned Customers</w:t>
            </w:r>
          </w:p>
        </w:tc>
        <w:tc>
          <w:tcPr>
            <w:tcW w:w="916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both"/>
              <w:rPr>
                <w:rFonts w:ascii="Helvetica;sans-serif" w:hAnsi="Helvetica;sans-serif"/>
                <w:b w:val="false"/>
                <w:color w:val="000000"/>
                <w:sz w:val="14"/>
              </w:rPr>
            </w:pPr>
            <w:r>
              <w:rPr>
                <w:rFonts w:ascii="Helvetica;sans-serif" w:hAnsi="Helvetica;sans-serif"/>
                <w:b w:val="false"/>
                <w:color w:val="000000"/>
                <w:sz w:val="14"/>
              </w:rPr>
              <w:t xml:space="preserve">A Funded Customer is considered “Churned” if it was ever a New Funded Customer whose account balance (measured as the fair value of assets in the account less any amount due from the user and excluding amounts that are deposited into a Funded Customer account by the Company with no action taken by the unique person) drops to or below zero and has not completed a transaction using any account with a Robinhood entity for at least 45 consecutive calendar days. Negative balances typically result from Fraudulent Deposit Transactions (which occur when users initiate deposits into their accounts, make trades on our platforms using a short-term extension of credit from us, and then repatriate or reverse the deposits, resulting in a loss to us of the credited amount) and unauthorized debit card use, and less often, from margin loans. </w:t>
            </w:r>
          </w:p>
        </w:tc>
      </w:tr>
      <w:tr>
        <w:trPr/>
        <w:tc>
          <w:tcPr>
            <w:tcW w:w="104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4"/>
              </w:rPr>
            </w:pPr>
            <w:r>
              <w:rPr>
                <w:rFonts w:ascii="Helvetica;sans-serif" w:hAnsi="Helvetica;sans-serif"/>
                <w:b/>
                <w:color w:val="000000"/>
                <w:sz w:val="14"/>
              </w:rPr>
              <w:t>Growth Rate and</w:t>
            </w:r>
          </w:p>
          <w:p>
            <w:pPr>
              <w:pStyle w:val="TableContents"/>
              <w:bidi w:val="0"/>
              <w:spacing w:lineRule="auto" w:line="240" w:before="0" w:after="0"/>
              <w:jc w:val="left"/>
              <w:rPr>
                <w:rFonts w:ascii="Helvetica;sans-serif" w:hAnsi="Helvetica;sans-serif"/>
                <w:b/>
                <w:color w:val="000000"/>
                <w:sz w:val="14"/>
              </w:rPr>
            </w:pPr>
            <w:r>
              <w:rPr>
                <w:rFonts w:ascii="Helvetica;sans-serif" w:hAnsi="Helvetica;sans-serif"/>
                <w:b/>
                <w:color w:val="000000"/>
                <w:sz w:val="14"/>
              </w:rPr>
              <w:t>Annualized Growth Rate</w:t>
            </w:r>
          </w:p>
          <w:p>
            <w:pPr>
              <w:pStyle w:val="TableContents"/>
              <w:bidi w:val="0"/>
              <w:spacing w:lineRule="auto" w:line="240" w:before="0" w:after="0"/>
              <w:jc w:val="left"/>
              <w:rPr>
                <w:rFonts w:ascii="Helvetica;sans-serif" w:hAnsi="Helvetica;sans-serif"/>
                <w:b/>
                <w:color w:val="000000"/>
                <w:sz w:val="14"/>
              </w:rPr>
            </w:pPr>
            <w:r>
              <w:rPr>
                <w:rFonts w:ascii="Helvetica;sans-serif" w:hAnsi="Helvetica;sans-serif"/>
                <w:b/>
                <w:color w:val="000000"/>
                <w:sz w:val="14"/>
              </w:rPr>
              <w:t>with respect to Net Deposits</w:t>
            </w:r>
          </w:p>
        </w:tc>
        <w:tc>
          <w:tcPr>
            <w:tcW w:w="916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both"/>
              <w:rPr>
                <w:rFonts w:ascii="Helvetica;sans-serif" w:hAnsi="Helvetica;sans-serif"/>
                <w:b w:val="false"/>
                <w:color w:val="000000"/>
                <w:sz w:val="14"/>
              </w:rPr>
            </w:pPr>
            <w:r>
              <w:rPr>
                <w:rFonts w:ascii="Helvetica;sans-serif" w:hAnsi="Helvetica;sans-serif"/>
                <w:b w:val="false"/>
                <w:color w:val="000000"/>
                <w:sz w:val="14"/>
              </w:rPr>
              <w:t>Growth rate is calculated as aggregate Net Deposits over a specified 12 month period, divided by Total Platform Assets for the fiscal quarter that immediately precedes such 12 month period. Annualized growth rate is calculated as Net Deposits for a specified quarter multiplied by 4 and divided by Total Platform Assets for the immediately preceding quarter.</w:t>
            </w:r>
          </w:p>
        </w:tc>
      </w:tr>
      <w:tr>
        <w:trPr/>
        <w:tc>
          <w:tcPr>
            <w:tcW w:w="10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Investment Accounts</w:t>
            </w:r>
          </w:p>
        </w:tc>
        <w:tc>
          <w:tcPr>
            <w:tcW w:w="916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both"/>
              <w:rPr>
                <w:rFonts w:ascii="Helvetica;sans-serif" w:hAnsi="Helvetica;sans-serif"/>
                <w:b w:val="false"/>
                <w:color w:val="000000"/>
                <w:sz w:val="14"/>
              </w:rPr>
            </w:pPr>
            <w:r>
              <w:rPr>
                <w:rFonts w:ascii="Helvetica;sans-serif" w:hAnsi="Helvetica;sans-serif"/>
                <w:b w:val="false"/>
                <w:color w:val="000000"/>
                <w:sz w:val="14"/>
              </w:rPr>
              <w:t>We define an Investment Account as a funded individual brokerage account, a funded joint investing account, a funded IRA, a funded custodial account, or an account with an RIA using TradePMR’s platform. Starting in September 2025, a Funded Customer can have multiple Investment Accounts - one or more individual brokerage accounts, a joint investing account, a funded custodial account, a traditional IRA, a Roth IRA, and/or an RIA custody account using TradePMR’s platform. Investment Accounts do not include Bitstamp as such accounts are not brokerage or other Investment Accounts.</w:t>
            </w:r>
          </w:p>
        </w:tc>
      </w:tr>
      <w:tr>
        <w:trPr/>
        <w:tc>
          <w:tcPr>
            <w:tcW w:w="104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Margin Book</w:t>
            </w:r>
          </w:p>
        </w:tc>
        <w:tc>
          <w:tcPr>
            <w:tcW w:w="916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both"/>
              <w:rPr>
                <w:rFonts w:ascii="Helvetica;sans-serif" w:hAnsi="Helvetica;sans-serif"/>
                <w:b w:val="false"/>
                <w:color w:val="000000"/>
                <w:sz w:val="14"/>
              </w:rPr>
            </w:pPr>
            <w:r>
              <w:rPr>
                <w:rFonts w:ascii="Helvetica;sans-serif" w:hAnsi="Helvetica;sans-serif"/>
                <w:b w:val="false"/>
                <w:color w:val="000000"/>
                <w:sz w:val="14"/>
              </w:rPr>
              <w:t>We define Margin Book as our period-end aggregate outstanding margin loan balances receivable (i.e., the period-end total amount we are owed by customers on loans made for the purchase of securities, supported by a pledge of assets in their margin-enabled brokerage accounts). This includes margin loan balances from customers of RIAs using TradePMR’s platform.</w:t>
            </w:r>
          </w:p>
        </w:tc>
      </w:tr>
      <w:tr>
        <w:trPr/>
        <w:tc>
          <w:tcPr>
            <w:tcW w:w="10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New Funded Customers</w:t>
            </w:r>
          </w:p>
        </w:tc>
        <w:tc>
          <w:tcPr>
            <w:tcW w:w="916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both"/>
              <w:rPr>
                <w:rFonts w:ascii="Helvetica;sans-serif" w:hAnsi="Helvetica;sans-serif"/>
                <w:b w:val="false"/>
                <w:color w:val="000000"/>
                <w:sz w:val="14"/>
              </w:rPr>
            </w:pPr>
            <w:r>
              <w:rPr>
                <w:rFonts w:ascii="Helvetica;sans-serif" w:hAnsi="Helvetica;sans-serif"/>
                <w:b w:val="false"/>
                <w:color w:val="000000"/>
                <w:sz w:val="14"/>
              </w:rPr>
              <w:t>We define a New Funded Customer as a unique person who became a Funded Customer for the first time during the relevant period.</w:t>
            </w:r>
          </w:p>
        </w:tc>
      </w:tr>
      <w:tr>
        <w:trPr/>
        <w:tc>
          <w:tcPr>
            <w:tcW w:w="104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Notional Trading Volume</w:t>
            </w:r>
          </w:p>
        </w:tc>
        <w:tc>
          <w:tcPr>
            <w:tcW w:w="916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Helvetica;sans-serif" w:hAnsi="Helvetica;sans-serif"/>
                <w:b w:val="false"/>
                <w:color w:val="000000"/>
                <w:sz w:val="14"/>
              </w:rPr>
            </w:pPr>
            <w:r>
              <w:rPr>
                <w:rFonts w:ascii="Helvetica;sans-serif" w:hAnsi="Helvetica;sans-serif"/>
                <w:b w:val="false"/>
                <w:color w:val="000000"/>
                <w:sz w:val="14"/>
              </w:rPr>
              <w:t>We define Notional Trading Volume, or Notional Volume, for any specified asset class as the aggregate dollar value (purchase price or sale price as applicable) of trades executed in that asset class on our platforms over a specified period of time. Crypto Notional Volume includes both Robinhood App Notional Volume and Bitstamp Notional Volume. Robinhood App Notional Volume represents the dollar value of executed crypto trades on the Robinhood platform over a specified period of time, and, starting in June 2026, includes the dollar value of executed crypto trades from WonderFi customers. Bitstamp Notional Volume represents the dollar value of executed crypto trades on the Bitstamp platform over a specified period of time. For example, each $1 of transaction value executed between a buyer and seller is counted as $1 of transaction value in the relevant period, rather than $2 if counted for each of the buyer and seller.</w:t>
            </w:r>
          </w:p>
        </w:tc>
      </w:tr>
      <w:tr>
        <w:trPr/>
        <w:tc>
          <w:tcPr>
            <w:tcW w:w="104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Options Contracts Traded</w:t>
            </w:r>
          </w:p>
        </w:tc>
        <w:tc>
          <w:tcPr>
            <w:tcW w:w="916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both"/>
              <w:rPr>
                <w:rFonts w:ascii="Helvetica;sans-serif" w:hAnsi="Helvetica;sans-serif"/>
                <w:b w:val="false"/>
                <w:color w:val="000000"/>
                <w:sz w:val="14"/>
              </w:rPr>
            </w:pPr>
            <w:r>
              <w:rPr>
                <w:rFonts w:ascii="Helvetica;sans-serif" w:hAnsi="Helvetica;sans-serif"/>
                <w:b w:val="false"/>
                <w:color w:val="000000"/>
                <w:sz w:val="14"/>
              </w:rPr>
              <w:t>We define Options Contracts Traded as the total number of options contracts bought or sold over a specified period of time. Each contract generally entitles the holder to trade 100 shares of the underlying stock.</w:t>
            </w:r>
          </w:p>
        </w:tc>
      </w:tr>
      <w:tr>
        <w:trPr/>
        <w:tc>
          <w:tcPr>
            <w:tcW w:w="104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Resurrected Customers</w:t>
            </w:r>
          </w:p>
        </w:tc>
        <w:tc>
          <w:tcPr>
            <w:tcW w:w="9161"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both"/>
              <w:rPr>
                <w:rFonts w:ascii="Helvetica;sans-serif" w:hAnsi="Helvetica;sans-serif"/>
                <w:b w:val="false"/>
                <w:color w:val="000000"/>
                <w:sz w:val="14"/>
              </w:rPr>
            </w:pPr>
            <w:r>
              <w:rPr>
                <w:rFonts w:ascii="Helvetica;sans-serif" w:hAnsi="Helvetica;sans-serif"/>
                <w:b w:val="false"/>
                <w:color w:val="000000"/>
                <w:sz w:val="14"/>
              </w:rPr>
              <w:t>A Funded Customer is considered “Resurrected” in a stated period if it was a Churned Customer as of the end of the immediately preceding period and its balance (excluding amounts that are deposited into a Funded Customer account by the Company with no action taken by the unique person) rises above zero or it completes a transaction using its account.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48310"/>
                <wp:effectExtent l="0" t="0" r="0" b="0"/>
                <wp:wrapNone/>
                <wp:docPr id="7" name="Frame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0"/>
        <w:ind w:left="0" w:right="0" w:firstLine="360"/>
        <w:jc w:val="center"/>
        <w:rPr>
          <w:rFonts w:ascii="Helvetica;sans-serif" w:hAnsi="Helvetica;sans-serif"/>
          <w:b/>
          <w:color w:val="000000"/>
          <w:sz w:val="20"/>
        </w:rPr>
      </w:pPr>
      <w:r>
        <w:rPr>
          <w:rFonts w:ascii="Helvetica;sans-serif" w:hAnsi="Helvetica;sans-serif"/>
          <w:b/>
          <w:color w:val="000000"/>
          <w:sz w:val="20"/>
        </w:rPr>
        <w:t>Supported Cryptocurrencies</w:t>
      </w:r>
    </w:p>
    <w:p>
      <w:pPr>
        <w:pStyle w:val="TextBody"/>
        <w:bidi w:val="0"/>
        <w:spacing w:lineRule="auto" w:line="288" w:before="0" w:after="200"/>
        <w:jc w:val="left"/>
        <w:rPr/>
      </w:pPr>
      <w:r>
        <w:rPr>
          <w:rFonts w:ascii="Helvetica;sans-serif" w:hAnsi="Helvetica;sans-serif"/>
          <w:b w:val="false"/>
          <w:color w:val="000000"/>
          <w:sz w:val="20"/>
          <w:shd w:fill="FFFFFF" w:val="clear"/>
        </w:rPr>
        <w:t>We currently support trading in the following cryptocurrencies, where available</w:t>
      </w:r>
      <w:r>
        <w:rPr>
          <w:rFonts w:ascii="Helvetica;sans-serif" w:hAnsi="Helvetica;sans-serif"/>
          <w:b w:val="false"/>
          <w:color w:val="000000"/>
          <w:sz w:val="13"/>
          <w:shd w:fill="FFFFFF" w:val="clear"/>
        </w:rPr>
        <w:t>(1)</w:t>
      </w:r>
      <w:r>
        <w:rPr>
          <w:rFonts w:ascii="Helvetica;sans-serif" w:hAnsi="Helvetica;sans-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747"/>
        <w:gridCol w:w="342"/>
        <w:gridCol w:w="346"/>
        <w:gridCol w:w="437"/>
        <w:gridCol w:w="437"/>
        <w:gridCol w:w="438"/>
        <w:gridCol w:w="499"/>
        <w:gridCol w:w="367"/>
        <w:gridCol w:w="369"/>
        <w:gridCol w:w="390"/>
        <w:gridCol w:w="390"/>
        <w:gridCol w:w="392"/>
        <w:gridCol w:w="609"/>
        <w:gridCol w:w="321"/>
        <w:gridCol w:w="305"/>
        <w:gridCol w:w="427"/>
        <w:gridCol w:w="427"/>
        <w:gridCol w:w="428"/>
        <w:gridCol w:w="506"/>
        <w:gridCol w:w="363"/>
        <w:gridCol w:w="365"/>
        <w:gridCol w:w="488"/>
        <w:gridCol w:w="414"/>
        <w:gridCol w:w="398"/>
      </w:tblGrid>
      <w:tr>
        <w:trPr/>
        <w:tc>
          <w:tcPr>
            <w:tcW w:w="74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Aave (AAVE)</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Aerodrome Finance  (AERO)</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Algorand (ALGO)</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Arbitrum  (ARB)</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Aster  (ASTER)*</w:t>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Avalanche (AVAX)</w:t>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Avantis  (AVNT)*</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Axie Infinity (AXS)</w:t>
            </w:r>
          </w:p>
        </w:tc>
      </w:tr>
      <w:tr>
        <w:trPr/>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Basic Attention Token (BAT)</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Bio Protocol (BIO)</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Bitcoin (BTC)</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Bitcoin Cash (BCH)</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BNB  (BNB)*</w:t>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BONK (BONK)</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Canton Coin (CC)</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Cardano (ADA)</w:t>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cat in a dogs world (MEW)*</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Chainlink (LINK)</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Compound (COMP)</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Cosmos (ATOM)</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Curve DAO  (CRV)</w:t>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Dogecoin (DOGE)</w:t>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Dogwifhat (WIF)</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EigenCloud (EIGEN)*</w:t>
            </w:r>
          </w:p>
        </w:tc>
      </w:tr>
      <w:tr>
        <w:trPr/>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Ethena  (ENA)</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Ethereum (ETH)</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Ethereum Classic (ETC)</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Flare (FLR)</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Floki  (FLOKI)*</w:t>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Global Dollar (USDG)*</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Gram (GRAM)*</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Hedera  (HBAR)</w:t>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Hyperliquid  (HYPE)*</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Immutable (IMX)</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Injective (INJ)*</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Jito (JTO)*</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LayerZero (ZRO)*</w:t>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Lido DAO  (LDO)</w:t>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Lighter  (LIT)*</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Litecoin (LTC)</w:t>
            </w:r>
          </w:p>
        </w:tc>
      </w:tr>
      <w:tr>
        <w:trPr/>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Mantle  (MNT)</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Maple Finance  (SYRUP)</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MegaETH (MEGA)*</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Moo Deng  (MOODENG)*</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NEAR Protocol (NEAR)</w:t>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OFFICIAL TRUMP (TRUMP)*</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Ondo  (ONDO)*</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Onyxcoin  (XCN)</w:t>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Optimism  (OP)</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Orca (ORCA)</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Pax Gold (PAXG)*</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Peanut the Squirrel  (PNUT)*</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Pepecoin (PEPE)</w:t>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Plasma  (XPL)*</w:t>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Polkadot  (DOT)</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Popcat  (POPCAT)*</w:t>
            </w:r>
          </w:p>
        </w:tc>
      </w:tr>
      <w:tr>
        <w:trPr/>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Pudgy Penguins  (PENGU)*</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Pyth Network  (PYTH)</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Quant (QNT)</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Raydium (RAY)</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 (RE)*</w:t>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Render  (RENDER)</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Seeker (SKR)</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SEI  (SEI)</w:t>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Sentient (SENT)*</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Shiba Inu (SHIB)</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Sky  (SKY)*</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Solana (SOL)</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Starknet (STRK)</w:t>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Stellar Lumens (XLM)</w:t>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SUI  (SUI)</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Synthetix (SNX)*</w:t>
            </w:r>
          </w:p>
        </w:tc>
      </w:tr>
      <w:tr>
        <w:trPr/>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Tezos (XTZ)</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The Graph (GRT)</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Uniswap (UNI)</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USD.AI (CHIP)*</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USD Stablecoin (USDC)**</w:t>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Venice Token (VVV)</w:t>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Virtuals Protocol  (VIRTUAL)</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Worldcoin (WLD)*</w:t>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World Liberty Financial  (WLFI)*</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Wormhole (W)</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XRP (XRP)</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Zcash (ZEC)</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Zora  (ZORA)*</w:t>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0x Protocol (ZRX)</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Helvetica;sans-serif" w:hAnsi="Helvetica;sans-serif"/>
          <w:b w:val="false"/>
          <w:color w:val="000000"/>
          <w:sz w:val="10"/>
        </w:rPr>
        <w:t>(1)</w:t>
      </w:r>
      <w:r>
        <w:rPr>
          <w:color w:val="000000"/>
        </w:rPr>
        <w:t xml:space="preserve"> </w:t>
      </w:r>
      <w:r>
        <w:rPr>
          <w:rFonts w:ascii="Helvetica;sans-serif" w:hAnsi="Helvetica;sans-serif"/>
          <w:b w:val="false"/>
          <w:color w:val="000000"/>
          <w:sz w:val="16"/>
        </w:rPr>
        <w:t xml:space="preserve">Not all cryptocurrencies are available in every state. An asterisk indicates a cryptocurrency is not currently available for trading in New York; a double asterisk indicates a cryptocurrency is not currently available for trading in New York or Texas.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48310"/>
                <wp:effectExtent l="0" t="0" r="0" b="0"/>
                <wp:wrapNone/>
                <wp:docPr id="8" name="Frame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CAUTIONARY NOTE REGARDING FORWARD</w:t>
        <w:noBreakHyphen/>
        <w:t>LOOKING STATEMENTS</w:t>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This Quarterly Report on Form 10-Q (this “Quarterly Report”) of Robinhood Markets, Inc. (“RHM” and, together with its subsidiaries, “we,” “us,” “Robinhood,” or the “Company”) contains forward-looking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Quarterly Report includes, among others, forward-looking statements regarding: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expectations regarding legal and regulatory proceedings and investigations;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 xml:space="preserve">our intent to continue expanding our operations outside of the United States;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that we are continuously introducing new products and diversifying our services that further expand access to the financial system;</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our expectations regarding legislative developments and their impact on us, including with respect to the CLARITY Act and the GENIUS Act;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our expectation that management will exclude WonderFi from its assessment of internal control over financial reporting for 2026;</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our expectations about adapting our product and service offerings to reflect local regulatory requirements, customer preferences, and other location-specific factors when pursuing such expansion;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 xml:space="preserve">the Repurchase Program and our current expectations with respect to timing;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we expect that Robinhood Chain's underlying protocol will need to be upgraded from time to time to remediate newly discovered vulnerabilities, improve network performance, add new functionality, or comply with evolving regulatory requirements;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our belief that, based on our current level of operations, our primary sources of liquidity will be adequate to meet our current liquidity needs for the next 12 months; </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Helvetica;sans-serif" w:hAnsi="Helvetica;sans-serif"/>
          <w:b w:val="false"/>
          <w:color w:val="000000"/>
          <w:sz w:val="20"/>
        </w:rPr>
        <w:t>our expectations regarding RVI, RVII, and the Funds (as defined below), including that RHV expects to serve as investment adviser to additional investment vehicles registered under the 1940 Act in the future and that we expect to continue making balance sheet investments to provide seed or other capital to certain Funds during their early fundraising stages;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expectations regarding our pending applications for a license under the DFAL in connection with our cryptocurrency trading operations in California.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48310"/>
                <wp:effectExtent l="0" t="0" r="0" b="0"/>
                <wp:wrapNone/>
                <wp:docPr id="9" name="Frame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forward-looking statements are subject to a number of known and unknown risks, uncertainties, assumptions, and other factors that may cause our actual future results, performance, or achievements to differ materially from any future results expressed or implied in this Quarterly Report. Reported results should not be considered an indication of future performance. Factors that contribute to the uncertain nature of our forward-looking statements include, among others: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rapid and continuing expansion, including continuing to introduce new products and services on our platforms as well as geographic expansion;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difficulty of managing our business effectively, including the size of our workforce, and the risk of declining or negative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fluctuations in our financial results and key metrics from quarter to quarter;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reliance on transaction-based revenue, including PFOF, the risk of new regulation or bans on PFOF and similar practices, and the addition of our new fee-based model for cryptocurrency;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exposure to fluctuations in interest rates and rapidly changing interest rate environments;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the difficulty of raising additional capital (to provide liquidity needs and support business growth and objectives) on reasonable terms, if at all;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need to maintain capital levels required by regulators and SROs;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risk that we might mishandle the cash, securities, and cryptocurrencies we hold on behalf of customers, and our exposure to liability for processing, operational, or technical errors in clearing functions;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impact of negative publicity on our brand and reputation;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risk that changes in business, economic, or political conditions that impact the global financial markets, or a systemic market event, might harm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dependence on key employees and a skilled workforce;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fact that we do not wholly own or operationally control Rothera, our joint venture with SIG, and its subsidiaries;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operational and regulatory risks and expenditures prior to and following closing of our acquisitions and investments;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difficulty of complying with an extensive, complex, and changing regulatory environment, the risk of monetary and other penalties for noncompliance and the need to adjust our business model in response to new or modified laws and regulations;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possibility of adverse developments in pending litigation and regulatory investigations;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48310"/>
                <wp:effectExtent l="0" t="0" r="0" b="0"/>
                <wp:wrapNone/>
                <wp:docPr id="10" name="Frame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risk that the outcome of currently ongoing and potential future regulatory enforcement actions and litigation, as well as potential changes in federal or state law, could immediately or subsequently prevent us from offering, or continuing to offer, event contracts;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effects of competition;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need to innovate and acquire or invest in new products, services, technologies and geographies in order to attract and retain customers and deepen their engagement with us in order to maintain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reliance on third parties to perform some key functions and the risk that processing, operational or technological failures could impair the availability or stability of our platforms;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risk of cybersecurity incidents, theft, data breaches, and other online attacks;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difficulty of processing customer data in compliance with privacy laws;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need as a regulated financial services company to develop and maintain effective compliance and risk management infrastructures;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the risks associated with incorporating AI technologies into some of our products and processes;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regulation, litigation, contractual, operational, and reputational risks associated with our introduction of products such as Robinhood Chain and Stock Tokens globally, continued offering of Classic Stock Tokens (formerly “Robinhood Stock Tokens”) and perpetual futures trading in the European Economic Area, and updates to Robinhood Wallet, and our staking and onchain lending services offered in the U.S.;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risk that substantial future sales of Class A common stock in the public market, or the perception that they may occur, could cause the price of our stock to fall.</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Quarterly Report titled “Risk Factors” and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Quarterly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Quarterly Report whether as a result of any new information, future events, changed circumstances, or otherwise. You should read this Quarterly Report with the understanding that our actual future results, performance, events, and circumstances might be materially different from what we expect.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48310"/>
                <wp:effectExtent l="0" t="0" r="0" b="0"/>
                <wp:wrapNone/>
                <wp:docPr id="11" name="Frame1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use the “Overview” tab of our Investor Relations website (accessible at investors.robinhood.com/overview) and its Newsroom, (accessible at newsroom.aboutrobinhood.com), as means of disclosing information to the public in a broad, non-exclusionary manner for purposes of the SEC’s Regulation Fair Disclosure (Reg. FD). Investors should routinely monitor those web pages, in addition to our press releases, SEC filings, and public conference calls and webcasts, as information posted on them could be deemed to be material information. The contents of our websites are not intended to be incorporated by reference into this Quarterly Report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48310"/>
                <wp:effectExtent l="0" t="0" r="0" b="0"/>
                <wp:wrapNone/>
                <wp:docPr id="12" name="Frame1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BALANCE SHEETS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63"/>
        <w:gridCol w:w="2216"/>
        <w:gridCol w:w="2223"/>
        <w:gridCol w:w="109"/>
        <w:gridCol w:w="109"/>
        <w:gridCol w:w="109"/>
        <w:gridCol w:w="212"/>
        <w:gridCol w:w="702"/>
        <w:gridCol w:w="118"/>
        <w:gridCol w:w="109"/>
        <w:gridCol w:w="109"/>
        <w:gridCol w:w="109"/>
        <w:gridCol w:w="196"/>
        <w:gridCol w:w="646"/>
        <w:gridCol w:w="109"/>
        <w:gridCol w:w="109"/>
        <w:gridCol w:w="157"/>
      </w:tblGrid>
      <w:tr>
        <w:trPr/>
        <w:tc>
          <w:tcPr>
            <w:tcW w:w="286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Helvetica;sans-serif" w:hAnsi="Helvetica;sans-serif"/>
                <w:b/>
                <w:color w:val="000000"/>
                <w:sz w:val="16"/>
              </w:rPr>
            </w:pPr>
            <w:r>
              <w:rPr>
                <w:rFonts w:ascii="Helvetica;sans-serif" w:hAnsi="Helvetica;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cash equivalents, and securities segregated under federal and other regulations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brokers,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users,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17,994 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Deposits with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User-held fractional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Deferred customer match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Helvetica;sans-serif" w:hAnsi="Helvetica;sans-serif"/>
                <w:b w:val="false"/>
                <w:color w:val="000000"/>
                <w:sz w:val="16"/>
              </w:rPr>
              <w:t>Other current assets, including current prepaid expenses of $127 as of December 31, 2025 and $196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36,305 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Property, software,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Non-current deferred customer match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Helvetica;sans-serif" w:hAnsi="Helvetica;sans-serif"/>
                <w:b w:val="false"/>
                <w:color w:val="000000"/>
                <w:sz w:val="16"/>
              </w:rPr>
              <w:t>Other non-current assets, including non-current prepaid expenses of $11 as of December 31, 2025 and $21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38,137 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Payables to users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11,986 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Fractional shares repurchase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28,771 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28,986 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Commitments and contingencies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 xml:space="preserve">Preferred stock, $0.0001 par value. 210 million shares authorized, no shares issued and outstanding as of December 31, 2025 and June 30,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 xml:space="preserve">Class A common stock, $0.0001 par value. 21 billion shares authorized, 790 million shares issued and outstanding as of December 31, 2025; 21 billion shares authorized, 790 million shares issued and outstanding as of June 30,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Class B common stock, $0.0001 par value. 700 million shares authorized, 111 million shares issued and outstanding as of December 31, 2025; 700 million shares authorized, 109 million shares issued and outstanding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Class C common stock, $0.0001 par value. 7 billion shares authorized, no shares issued and outstanding as of December 31, 2025 and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(2,152)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38,137 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48310"/>
                <wp:effectExtent l="0" t="0" r="0" b="0"/>
                <wp:wrapNone/>
                <wp:docPr id="13" name="Frame1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20"/>
        <w:gridCol w:w="1715"/>
        <w:gridCol w:w="1588"/>
        <w:gridCol w:w="211"/>
        <w:gridCol w:w="541"/>
        <w:gridCol w:w="109"/>
        <w:gridCol w:w="109"/>
        <w:gridCol w:w="109"/>
        <w:gridCol w:w="109"/>
        <w:gridCol w:w="211"/>
        <w:gridCol w:w="541"/>
        <w:gridCol w:w="109"/>
        <w:gridCol w:w="109"/>
        <w:gridCol w:w="109"/>
        <w:gridCol w:w="109"/>
        <w:gridCol w:w="211"/>
        <w:gridCol w:w="646"/>
        <w:gridCol w:w="109"/>
        <w:gridCol w:w="109"/>
        <w:gridCol w:w="109"/>
        <w:gridCol w:w="109"/>
        <w:gridCol w:w="211"/>
        <w:gridCol w:w="646"/>
        <w:gridCol w:w="156"/>
      </w:tblGrid>
      <w:tr>
        <w:trPr/>
        <w:tc>
          <w:tcPr>
            <w:tcW w:w="222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5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 share data)</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bookmarkStart w:id="2" w:name="id2c664825d6f4a2ba5c5e31dd92574f1_2-0-1-"/>
            <w:bookmarkEnd w:id="2"/>
            <w:r>
              <w:rPr>
                <w:rFonts w:ascii="Helvetica;sans-serif" w:hAnsi="Helvetica;sans-serif"/>
                <w:b w:val="false"/>
                <w:color w:val="000000"/>
                <w:sz w:val="20"/>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Net income (loss)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Robinhood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Robinhood common stockholders: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20"/>
              </w:rPr>
            </w:pPr>
            <w:r>
              <w:rPr>
                <w:rFonts w:ascii="Helvetica;sans-serif" w:hAnsi="Helvetica;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per share attributable to Robinhood common stockholders: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20"/>
              </w:rPr>
            </w:pPr>
            <w:r>
              <w:rPr>
                <w:rFonts w:ascii="Helvetica;sans-serif" w:hAnsi="Helvetica;sans-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20"/>
              </w:rPr>
            </w:pPr>
            <w:r>
              <w:rPr>
                <w:rFonts w:ascii="Helvetica;sans-serif" w:hAnsi="Helvetica;sans-serif"/>
                <w:b w:val="false"/>
                <w:color w:val="000000"/>
                <w:sz w:val="20"/>
              </w:rPr>
              <w:t>0.42 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20"/>
              </w:rPr>
            </w:pPr>
            <w:r>
              <w:rPr>
                <w:rFonts w:ascii="Helvetica;sans-serif" w:hAnsi="Helvetica;sans-serif"/>
                <w:b w:val="false"/>
                <w:color w:val="000000"/>
                <w:sz w:val="20"/>
              </w:rPr>
              <w:t>0.62 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to compute net income per share attributable to Robinhood common stockholders: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Helvetica;sans-serif" w:hAnsi="Helvetica;sans-serif"/>
                <w:b w:val="false"/>
                <w:color w:val="000000"/>
                <w:sz w:val="20"/>
              </w:rPr>
            </w:pPr>
            <w:r>
              <w:rPr>
                <w:rFonts w:ascii="Helvetica;sans-serif" w:hAnsi="Helvetica;sans-serif"/>
                <w:b w:val="false"/>
                <w:color w:val="000000"/>
                <w:sz w:val="20"/>
              </w:rPr>
              <w:t>909 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Helvetica;sans-serif" w:hAnsi="Helvetica;sans-serif"/>
                <w:b w:val="false"/>
                <w:color w:val="000000"/>
                <w:sz w:val="20"/>
              </w:rPr>
            </w:pPr>
            <w:r>
              <w:rPr>
                <w:rFonts w:ascii="Helvetica;sans-serif" w:hAnsi="Helvetica;sans-serif"/>
                <w:b w:val="false"/>
                <w:color w:val="000000"/>
                <w:sz w:val="20"/>
              </w:rPr>
              <w:t>912 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913 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48310"/>
                <wp:effectExtent l="0" t="0" r="0" b="0"/>
                <wp:wrapNone/>
                <wp:docPr id="14" name="Frame1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CONDENSED CONSOLIDATED STATEMENTS OF COMPREHENSIVE INCOME </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93"/>
        <w:gridCol w:w="1576"/>
        <w:gridCol w:w="1537"/>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223"/>
      </w:tblGrid>
      <w:tr>
        <w:trPr/>
        <w:tc>
          <w:tcPr>
            <w:tcW w:w="2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5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 net of tax</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Total comprehensive income (loss) attributable to non-controlling interests</w:t>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 attributable to Robinhood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893 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48310"/>
                <wp:effectExtent l="0" t="0" r="0" b="0"/>
                <wp:wrapNone/>
                <wp:docPr id="15" name="Frame1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9418" w:type="dxa"/>
        <w:jc w:val="center"/>
        <w:tblInd w:w="0" w:type="dxa"/>
        <w:tblLayout w:type="fixed"/>
        <w:tblCellMar>
          <w:top w:w="28" w:type="dxa"/>
          <w:left w:w="28" w:type="dxa"/>
          <w:bottom w:w="28" w:type="dxa"/>
          <w:right w:w="28" w:type="dxa"/>
        </w:tblCellMar>
      </w:tblPr>
      <w:tblGrid>
        <w:gridCol w:w="2622"/>
        <w:gridCol w:w="2290"/>
        <w:gridCol w:w="1867"/>
        <w:gridCol w:w="109"/>
        <w:gridCol w:w="109"/>
        <w:gridCol w:w="109"/>
        <w:gridCol w:w="181"/>
        <w:gridCol w:w="571"/>
        <w:gridCol w:w="109"/>
        <w:gridCol w:w="109"/>
        <w:gridCol w:w="109"/>
        <w:gridCol w:w="109"/>
        <w:gridCol w:w="181"/>
        <w:gridCol w:w="571"/>
        <w:gridCol w:w="109"/>
        <w:gridCol w:w="109"/>
        <w:gridCol w:w="154"/>
      </w:tblGrid>
      <w:tr>
        <w:trPr/>
        <w:tc>
          <w:tcPr>
            <w:tcW w:w="2622"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Six Months Ended</w:t>
              <w:br/>
              <w:t>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Adjustments to reconcile net income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Gain on deconsolidation of RVI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Unrealized and realized (gain) loss on equity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Securities segregated under federal and other regulations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Receivables from brokers,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Receivables from users,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Deposits with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Current and non-current 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Current and non-current deferred customer match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Payables to users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Purchases of property, software,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Capitalization of 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Consideration transferred for business acquisitions and asset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cash equivalents, and segregated cash acquired in business acquisitions and asset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Purchases of non-marketable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maturities of held-to-maturity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Purchases of credit card receivables by Credit Card Funding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Collections of purchased credit card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sales of investment in RVI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derecognized upon deconsolidation of RVI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issuance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issuance of RVI common stock in connection with initial public offering, net of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issuance of common stock under the Employee Share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Repurchase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Draws on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Repayments on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Borrowings by the Credit Card Funding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Change in principal collected from customers due to Coastal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Repayments on borrowings by the Credit Card Funding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Payments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Purchase of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Effect of foreign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increase in cash, cash equivalents, segregated 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cash equivalents, segregated cash, and restricted cash,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cash equivalents, segregated cash, and restricted cash,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48310"/>
                <wp:effectExtent l="0" t="0" r="0" b="0"/>
                <wp:wrapNone/>
                <wp:docPr id="16" name="Frame1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8999" w:type="dxa"/>
        <w:jc w:val="center"/>
        <w:tblInd w:w="0" w:type="dxa"/>
        <w:tblLayout w:type="fixed"/>
        <w:tblCellMar>
          <w:top w:w="28" w:type="dxa"/>
          <w:left w:w="28" w:type="dxa"/>
          <w:bottom w:w="28" w:type="dxa"/>
          <w:right w:w="28" w:type="dxa"/>
        </w:tblCellMar>
      </w:tblPr>
      <w:tblGrid>
        <w:gridCol w:w="2305"/>
        <w:gridCol w:w="2026"/>
        <w:gridCol w:w="2029"/>
        <w:gridCol w:w="109"/>
        <w:gridCol w:w="109"/>
        <w:gridCol w:w="109"/>
        <w:gridCol w:w="181"/>
        <w:gridCol w:w="571"/>
        <w:gridCol w:w="109"/>
        <w:gridCol w:w="109"/>
        <w:gridCol w:w="109"/>
        <w:gridCol w:w="109"/>
        <w:gridCol w:w="181"/>
        <w:gridCol w:w="571"/>
        <w:gridCol w:w="109"/>
        <w:gridCol w:w="109"/>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Reconciliation of cash, cash equivalents, segregated cash and restricted cash,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and cash equivalents,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Segregated cash and cash equivalents,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Restricted cash in other current assets,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Restricted cash in other non-current assets,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cash equivalents, segregated cash and restricted cash,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Supplemental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paid for income taxes, net of refund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Derecognized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Retained RVI interest at FV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w:t>
      </w:r>
    </w:p>
    <w:p>
      <w:pPr>
        <w:pStyle w:val="TextBody"/>
        <w:bidi w:val="0"/>
        <w:spacing w:lineRule="auto" w:line="288" w:before="0" w:after="200"/>
        <w:jc w:val="center"/>
        <w:rPr>
          <w:rFonts w:ascii="Helvetica;sans-serif" w:hAnsi="Helvetica;sans-serif"/>
          <w:b w:val="false"/>
          <w:i/>
          <w:color w:val="000000"/>
          <w:sz w:val="18"/>
        </w:rPr>
      </w:pPr>
      <w:r>
        <w:rPr>
          <w:rFonts w:ascii="Helvetica;sans-serif" w:hAnsi="Helvetica;sans-serif"/>
          <w:b w:val="false"/>
          <w:i/>
          <w:color w:val="000000"/>
          <w:sz w:val="18"/>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48310"/>
                <wp:effectExtent l="0" t="0" r="0" b="0"/>
                <wp:wrapNone/>
                <wp:docPr id="17" name="Frame1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EQUITY</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978"/>
        <w:gridCol w:w="478"/>
        <w:gridCol w:w="483"/>
        <w:gridCol w:w="109"/>
        <w:gridCol w:w="109"/>
        <w:gridCol w:w="109"/>
        <w:gridCol w:w="116"/>
        <w:gridCol w:w="116"/>
        <w:gridCol w:w="116"/>
        <w:gridCol w:w="116"/>
        <w:gridCol w:w="210"/>
        <w:gridCol w:w="211"/>
        <w:gridCol w:w="186"/>
        <w:gridCol w:w="109"/>
        <w:gridCol w:w="109"/>
        <w:gridCol w:w="109"/>
        <w:gridCol w:w="207"/>
        <w:gridCol w:w="428"/>
        <w:gridCol w:w="116"/>
        <w:gridCol w:w="195"/>
        <w:gridCol w:w="195"/>
        <w:gridCol w:w="196"/>
        <w:gridCol w:w="267"/>
        <w:gridCol w:w="884"/>
        <w:gridCol w:w="150"/>
        <w:gridCol w:w="109"/>
        <w:gridCol w:w="109"/>
        <w:gridCol w:w="109"/>
        <w:gridCol w:w="271"/>
        <w:gridCol w:w="563"/>
        <w:gridCol w:w="152"/>
        <w:gridCol w:w="109"/>
        <w:gridCol w:w="109"/>
        <w:gridCol w:w="109"/>
        <w:gridCol w:w="228"/>
        <w:gridCol w:w="665"/>
        <w:gridCol w:w="127"/>
        <w:gridCol w:w="109"/>
        <w:gridCol w:w="109"/>
        <w:gridCol w:w="109"/>
        <w:gridCol w:w="196"/>
        <w:gridCol w:w="556"/>
        <w:gridCol w:w="164"/>
      </w:tblGrid>
      <w:tr>
        <w:trPr/>
        <w:tc>
          <w:tcPr>
            <w:tcW w:w="9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7"/>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4"/>
              </w:rPr>
              <w:t xml:space="preserve">Common stock </w:t>
            </w:r>
            <w:r>
              <w:rPr>
                <w:rFonts w:ascii="Helvetica;sans-serif" w:hAnsi="Helvetica;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equity</w:t>
            </w:r>
          </w:p>
        </w:tc>
        <w:tc>
          <w:tcPr>
            <w:tcW w:w="1243" w:type="dxa"/>
            <w:gridSpan w:val="6"/>
            <w:tcBorders/>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3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11,652 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(3,699)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7,953 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386 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warrants exercises,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(252)</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Repurchase and retirement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11,378 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(3,313)</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8,072 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593" w:type="dxa"/>
        <w:jc w:val="left"/>
        <w:tblInd w:w="0" w:type="dxa"/>
        <w:tblLayout w:type="fixed"/>
        <w:tblCellMar>
          <w:top w:w="28" w:type="dxa"/>
          <w:left w:w="28" w:type="dxa"/>
          <w:bottom w:w="28" w:type="dxa"/>
          <w:right w:w="28" w:type="dxa"/>
        </w:tblCellMar>
      </w:tblPr>
      <w:tblGrid>
        <w:gridCol w:w="797"/>
        <w:gridCol w:w="238"/>
        <w:gridCol w:w="241"/>
        <w:gridCol w:w="109"/>
        <w:gridCol w:w="109"/>
        <w:gridCol w:w="109"/>
        <w:gridCol w:w="109"/>
        <w:gridCol w:w="109"/>
        <w:gridCol w:w="109"/>
        <w:gridCol w:w="109"/>
        <w:gridCol w:w="210"/>
        <w:gridCol w:w="211"/>
        <w:gridCol w:w="186"/>
        <w:gridCol w:w="109"/>
        <w:gridCol w:w="109"/>
        <w:gridCol w:w="109"/>
        <w:gridCol w:w="207"/>
        <w:gridCol w:w="428"/>
        <w:gridCol w:w="116"/>
        <w:gridCol w:w="195"/>
        <w:gridCol w:w="195"/>
        <w:gridCol w:w="196"/>
        <w:gridCol w:w="222"/>
        <w:gridCol w:w="734"/>
        <w:gridCol w:w="125"/>
        <w:gridCol w:w="109"/>
        <w:gridCol w:w="109"/>
        <w:gridCol w:w="109"/>
        <w:gridCol w:w="280"/>
        <w:gridCol w:w="494"/>
        <w:gridCol w:w="157"/>
        <w:gridCol w:w="109"/>
        <w:gridCol w:w="109"/>
        <w:gridCol w:w="109"/>
        <w:gridCol w:w="241"/>
        <w:gridCol w:w="704"/>
        <w:gridCol w:w="136"/>
        <w:gridCol w:w="109"/>
        <w:gridCol w:w="109"/>
        <w:gridCol w:w="109"/>
        <w:gridCol w:w="263"/>
        <w:gridCol w:w="565"/>
        <w:gridCol w:w="148"/>
        <w:gridCol w:w="109"/>
        <w:gridCol w:w="109"/>
        <w:gridCol w:w="109"/>
        <w:gridCol w:w="196"/>
        <w:gridCol w:w="55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7"/>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4"/>
              </w:rPr>
              <w:t xml:space="preserve">Common stock </w:t>
            </w:r>
            <w:r>
              <w:rPr>
                <w:rFonts w:ascii="Helvetica;sans-serif" w:hAnsi="Helvetica;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equity</w:t>
            </w:r>
          </w:p>
        </w:tc>
        <w:tc>
          <w:tcPr>
            <w:tcW w:w="1233" w:type="dxa"/>
            <w:gridSpan w:val="6"/>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11,119 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Purchase of Capped Calls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Repurchase and retirement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Deconsolidation of RVI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10,731 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(1,241)</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48310"/>
                <wp:effectExtent l="0" t="0" r="0" b="0"/>
                <wp:wrapNone/>
                <wp:docPr id="18" name="Frame1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EQUITY</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bidi w:val="0"/>
        <w:spacing w:lineRule="auto" w:line="288" w:before="0" w:after="0"/>
        <w:ind w:left="0" w:right="0" w:firstLine="360"/>
        <w:jc w:val="left"/>
        <w:rPr>
          <w:rFonts w:ascii="Helvetica;sans-serif" w:hAnsi="Helvetica;sans-serif"/>
          <w:b w:val="false"/>
          <w:color w:val="000000"/>
          <w:sz w:val="20"/>
        </w:rPr>
      </w:pPr>
      <w:r>
        <w:rPr>
          <w:rFonts w:ascii="Helvetica;sans-serif" w:hAnsi="Helvetica;sans-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832"/>
        <w:gridCol w:w="466"/>
        <w:gridCol w:w="472"/>
        <w:gridCol w:w="109"/>
        <w:gridCol w:w="109"/>
        <w:gridCol w:w="109"/>
        <w:gridCol w:w="114"/>
        <w:gridCol w:w="114"/>
        <w:gridCol w:w="114"/>
        <w:gridCol w:w="114"/>
        <w:gridCol w:w="210"/>
        <w:gridCol w:w="211"/>
        <w:gridCol w:w="186"/>
        <w:gridCol w:w="109"/>
        <w:gridCol w:w="109"/>
        <w:gridCol w:w="109"/>
        <w:gridCol w:w="207"/>
        <w:gridCol w:w="428"/>
        <w:gridCol w:w="116"/>
        <w:gridCol w:w="195"/>
        <w:gridCol w:w="195"/>
        <w:gridCol w:w="196"/>
        <w:gridCol w:w="264"/>
        <w:gridCol w:w="874"/>
        <w:gridCol w:w="148"/>
        <w:gridCol w:w="109"/>
        <w:gridCol w:w="109"/>
        <w:gridCol w:w="109"/>
        <w:gridCol w:w="340"/>
        <w:gridCol w:w="443"/>
        <w:gridCol w:w="190"/>
        <w:gridCol w:w="109"/>
        <w:gridCol w:w="109"/>
        <w:gridCol w:w="109"/>
        <w:gridCol w:w="225"/>
        <w:gridCol w:w="658"/>
        <w:gridCol w:w="126"/>
        <w:gridCol w:w="109"/>
        <w:gridCol w:w="109"/>
        <w:gridCol w:w="109"/>
        <w:gridCol w:w="196"/>
        <w:gridCol w:w="556"/>
        <w:gridCol w:w="109"/>
        <w:gridCol w:w="109"/>
        <w:gridCol w:w="162"/>
      </w:tblGrid>
      <w:tr>
        <w:trPr/>
        <w:tc>
          <w:tcPr>
            <w:tcW w:w="8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7"/>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4"/>
              </w:rPr>
              <w:t xml:space="preserve">Common stock </w:t>
            </w:r>
            <w:r>
              <w:rPr>
                <w:rFonts w:ascii="Helvetica;sans-serif" w:hAnsi="Helvetica;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2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12,008 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(4,035)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warrants exercises,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Repurchase and retirement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11,378 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(3,313)</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0593" w:type="dxa"/>
        <w:jc w:val="left"/>
        <w:tblInd w:w="0" w:type="dxa"/>
        <w:tblLayout w:type="fixed"/>
        <w:tblCellMar>
          <w:top w:w="28" w:type="dxa"/>
          <w:left w:w="28" w:type="dxa"/>
          <w:bottom w:w="28" w:type="dxa"/>
          <w:right w:w="28" w:type="dxa"/>
        </w:tblCellMar>
      </w:tblPr>
      <w:tblGrid>
        <w:gridCol w:w="692"/>
        <w:gridCol w:w="290"/>
        <w:gridCol w:w="294"/>
        <w:gridCol w:w="109"/>
        <w:gridCol w:w="109"/>
        <w:gridCol w:w="109"/>
        <w:gridCol w:w="109"/>
        <w:gridCol w:w="109"/>
        <w:gridCol w:w="109"/>
        <w:gridCol w:w="109"/>
        <w:gridCol w:w="210"/>
        <w:gridCol w:w="211"/>
        <w:gridCol w:w="186"/>
        <w:gridCol w:w="109"/>
        <w:gridCol w:w="109"/>
        <w:gridCol w:w="109"/>
        <w:gridCol w:w="207"/>
        <w:gridCol w:w="428"/>
        <w:gridCol w:w="116"/>
        <w:gridCol w:w="195"/>
        <w:gridCol w:w="195"/>
        <w:gridCol w:w="196"/>
        <w:gridCol w:w="222"/>
        <w:gridCol w:w="734"/>
        <w:gridCol w:w="125"/>
        <w:gridCol w:w="109"/>
        <w:gridCol w:w="109"/>
        <w:gridCol w:w="109"/>
        <w:gridCol w:w="280"/>
        <w:gridCol w:w="494"/>
        <w:gridCol w:w="157"/>
        <w:gridCol w:w="109"/>
        <w:gridCol w:w="109"/>
        <w:gridCol w:w="109"/>
        <w:gridCol w:w="241"/>
        <w:gridCol w:w="704"/>
        <w:gridCol w:w="136"/>
        <w:gridCol w:w="109"/>
        <w:gridCol w:w="109"/>
        <w:gridCol w:w="109"/>
        <w:gridCol w:w="300"/>
        <w:gridCol w:w="507"/>
        <w:gridCol w:w="169"/>
        <w:gridCol w:w="109"/>
        <w:gridCol w:w="109"/>
        <w:gridCol w:w="109"/>
        <w:gridCol w:w="196"/>
        <w:gridCol w:w="556"/>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7"/>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4"/>
              </w:rPr>
              <w:t xml:space="preserve">Common stock </w:t>
            </w:r>
            <w:r>
              <w:rPr>
                <w:rFonts w:ascii="Helvetica;sans-serif" w:hAnsi="Helvetica;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equity</w:t>
            </w:r>
          </w:p>
        </w:tc>
        <w:tc>
          <w:tcPr>
            <w:tcW w:w="1233" w:type="dxa"/>
            <w:gridSpan w:val="6"/>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11,284 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(2,152)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Purchase of Capped Calls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Repurchase and retirement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RVI common stock in connection with initial public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Non-controlling interests recognized in connection with 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Deconsolidation of RVI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Capital contributions from a partner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10,731 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(1,241)</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Helvetica;sans-serif" w:hAnsi="Helvetica;sans-serif"/>
          <w:b w:val="false"/>
          <w:color w:val="000000"/>
          <w:sz w:val="10"/>
        </w:rPr>
        <w:t>(1)</w:t>
      </w:r>
      <w:r>
        <w:rPr>
          <w:rFonts w:ascii="Helvetica;sans-serif" w:hAnsi="Helvetica;sans-serif"/>
          <w:b w:val="false"/>
          <w:color w:val="000000"/>
          <w:sz w:val="16"/>
        </w:rPr>
        <w:t>The share amounts listed above combine Class A common stock and Class B common stock.</w:t>
      </w:r>
    </w:p>
    <w:p>
      <w:pPr>
        <w:pStyle w:val="TextBody"/>
        <w:bidi w:val="0"/>
        <w:spacing w:before="0" w:after="0"/>
        <w:ind w:left="0" w:right="0" w:firstLine="180"/>
        <w:jc w:val="both"/>
        <w:rPr/>
      </w:pPr>
      <w:r>
        <w:rPr/>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48310"/>
                <wp:effectExtent l="0" t="0" r="0" b="0"/>
                <wp:wrapNone/>
                <wp:docPr id="19" name="Frame1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4f66f6935354692926c7e49d2b4f047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THE CONDENSED CONSOLIDATED FINANCIAL STATEMENTS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 DESCRIPTION OF BUSINESS AND SUMMARY OF SIGNIFICANT ACCOUNTING POLICIES</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Robinhood was founded in 2013 and our mission is to democratize finance for all. Our platforms enable customers to buy, sell, and trade equities, options, event contracts, and futures, as well as buy, sell, and transfer cryptocurrencies. We are also responsible for the custody of user-held cryptocurrencies. In addition, we offer credit cards with certain rewards offerings, as well as a cash card and spending account that help our customers in investing, saving, and earning rewards.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continuously introducing new products and diversifying our services that further expand access to the financial system. In February 2025, we acquired TradePMR, a custodial and portfolio management platform for RIAs. In March 2025, we launched Robinhood Strategies, a digital investment advisory service that offers tailored, expert-managed, and goal-based portfolios directly within our mobile platform, featuring low and capped fees. In June 2025, we acquired Bitstamp, a globally-scaled cryptocurrency exchange with institutional and retail customers. In September 2025, we launched RVI a closed-end fund that aims to offer retail investors exposure to private companies at the frontiers of their respective industries. In November 2025, we established a joint venture, Rothera, in partnership with SIG, that acquired 90% of the issued and outstanding equity of MIAXdx on January 20, 2026. We consolidate the financial results into our consolidated financial statements due to our ability to exert control over the financial and operating policies of the joint venture.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March 6, 2026, RVI launched its IPO and commenced trading on the NYSE. During the three months ended June 30, 2026, we liquidated a portion of our interest in RVI resulting in the deconsolidation of RVI in June 2026. Upon deconsolidation, we have elected to account for our retained interest in RVI under the fair value option. Refer to Note 4 - Deconsolidation of RVI for further information. In April 2026, we announced that Robinhood will serve as broker and sole initial trustee for Trump Accounts on behalf of the U.S. Department of the Treasury. Robinhood will work with BNY, which has been selected by the U.S. Department of the Treasury as financial agent for Trump Accounts, to develop and operate the infrastructure required for Trump Accounts, which officially launched on July 4, 2026. This includes providing the necessary technology, building an intuitive front-end experience, creating educational resources, and managing customer support for Trump Accounts for which Robinhood will earn revenue. These accounts will leverage Robinhood’s technology and infrastructure to power a standalone web and app experience designed uniquely for this initiative. In June 2026, we acquired WonderFi, a Canadian leader in digital asset products and services.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Basis of Presentation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have been prepared in accordance with GAAP and pursuant to the rules and regulations of the SEC for interim financial reporting. The condensed consolidated financial statements are unaudited, and in management’s opinion, include all adjustments, including normal recurring adjustments and accruals necessary for a fair presentation of the results for the interim periods presented. Operating results for the periods presented are not necessarily indicative of the results that may be expected for the full fiscal year ending December 31, 2026 or any future period. These unaudited condensed consolidated financial statements should be read in conjunction with the audited annual consolidated financial statements and notes included in our Annual Report on Form 10-K for the year ended December 31, 2025, as amended (“2025 Form 10-K”).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have been no material changes in our significant accounting policies as described in our audited consolidated financial statements included in our 2025 Form 10-K, other than as disclosed below. The unaudited condensed consolidated financial statements include the accounts of RHM and its wholly-owned direct and indirect subsidiaries. All intercompany balances and transactions have been eliminated.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48310"/>
                <wp:effectExtent l="0" t="0" r="0" b="0"/>
                <wp:wrapNone/>
                <wp:docPr id="20" name="Frame1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Certain reclassifications have been made to prior period amounts to conform to the current period’s presentation. The impact of these reclassifications is immaterial to the presentation of the unaudited condensed consolidated financial statements taken as a whole and had no impact on previously reported total assets, total liabilities and net income.</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Principles of Consolidation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consolidate entities in which we have a controlling financial interest. We first evaluate whether the entity is a voting interest entity or a VIE. 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in is a VIE and that we are the primary beneficiary, we consolidate such entity in the consolidated financial statements.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 We continuously monitor if any changes in the interest or relationship with the entity may impact the determination of whether we are still the primary beneficiary and require us to revise our previous conclusion. We consolidate a voting interest entity if we can exert control over the financial and operating policies of an investee. Other parties’ equity investments are reported as non-controlling interests.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Use of Estimates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unaudited condensed consolidated financial statements in accordance with GAAP requires management to make estimates and assumptions that affect the reported amounts in the unaudited condensed consolidated financial statements and accompanying notes. We base our estimates on historical experience, and other assumptions we believe to be reasonable under the circumstances. Assumptions and estimates used in preparing our unaudited condensed consolidated financial statements include, but are not limited to, those related to revenue recognition, SBC, the determination of allowances for credit losses, investment valuation, capitalization of internally developed software, useful lives of property, software, and equipment, valuation and useful lives of intangible assets, valuation of reporting units in assessing goodwill for impairment, incremental borrowing rate used to calculate operating lease right-of-use assets and related liabilities, impairment of long-lived assets, uncertain tax positions, realizability of deferred tax assets, accrued and contingent liabilities. Actual results could differ from these estimates and could have a material adverse effect on our operating results.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Concentrations of Revenue and Credit Risk</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Concentrations of Revenue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derived transaction-based revenues from individual market makers and exchanges in excess of 10% of total net revenues, as follows:</w:t>
      </w:r>
    </w:p>
    <w:tbl>
      <w:tblPr>
        <w:tblW w:w="7995" w:type="dxa"/>
        <w:jc w:val="left"/>
        <w:tblInd w:w="0" w:type="dxa"/>
        <w:tblLayout w:type="fixed"/>
        <w:tblCellMar>
          <w:top w:w="28" w:type="dxa"/>
          <w:left w:w="28" w:type="dxa"/>
          <w:bottom w:w="28" w:type="dxa"/>
          <w:right w:w="28" w:type="dxa"/>
        </w:tblCellMar>
      </w:tblPr>
      <w:tblGrid>
        <w:gridCol w:w="1336"/>
        <w:gridCol w:w="1173"/>
        <w:gridCol w:w="1180"/>
        <w:gridCol w:w="188"/>
        <w:gridCol w:w="188"/>
        <w:gridCol w:w="376"/>
        <w:gridCol w:w="143"/>
        <w:gridCol w:w="143"/>
        <w:gridCol w:w="143"/>
        <w:gridCol w:w="188"/>
        <w:gridCol w:w="188"/>
        <w:gridCol w:w="376"/>
        <w:gridCol w:w="178"/>
        <w:gridCol w:w="178"/>
        <w:gridCol w:w="180"/>
        <w:gridCol w:w="188"/>
        <w:gridCol w:w="188"/>
        <w:gridCol w:w="329"/>
        <w:gridCol w:w="125"/>
        <w:gridCol w:w="125"/>
        <w:gridCol w:w="125"/>
        <w:gridCol w:w="188"/>
        <w:gridCol w:w="188"/>
        <w:gridCol w:w="381"/>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June 30,</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 makers and exchanges:</w:t>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Citadel Securities, LLC</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others individually less than 10%</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 percentage of total net revenues</w:t>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48310"/>
                <wp:effectExtent l="0" t="0" r="0" b="0"/>
                <wp:wrapNone/>
                <wp:docPr id="21" name="Frame2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Concentrations of Credit Risk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engaged in various trading and brokerage activities in which the counterparties primarily include broker-dealers, banks, cryptocurrency market makers,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 xml:space="preserve">NOTE 2: RECENT ACCOUNTING PRONOUNCEMENTS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Recently Adopted Accounting Pronouncements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new accounting pronouncements adopted during the six months ended June 30, 2026 that materially impacted our unaudited condensed consolidated financial statements and related disclosures.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Recently Issued Accounting Pronouncements Not Yet Adopted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October 2023, the FASB issued ASU 2023-06, “Disclosure Improvements: Codification Amendments in Response to the SEC’s Disclosure Update and Simplification Initiative.” The amendments will impact various disclosure areas, including the statement of cash flows, accounting changes and error corrections, earnings per share, debt, equity, derivatives, and transfers of financial assets. The amendments in this guidance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impacts of the amendments on our consolidated financial statements.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March 2024, the SEC adopted final rules under SEC Release No. 34-99678 and No. 33-11275, “The Enhancement and Standardization of Climate-Related Disclosures for Investors” (the “Final Rules”), which the SEC has proposed to rescind, requires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We continue to monitor the status of the Final Rules and evaluate the potential impact of the Final Rules.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November 2024, the FASB issued ASU 2024-03, “Income Statement-Reporting Comprehensive Income-Expense Disaggregation Disclosures (Subtopic 220-40).” This guidance requires additional disclosures about certain amounts included in the expense captions presented on the statement of operations as well as disclosures about selling expenses. The guidance is effective for annual reporting periods beginning after December 15, 2026, and interim reporting periods beginning after December 15, 2027. Early adoption is permitted. We have not elected to early adopt this guidance. The guidance can either be applied prospectively or retrospectively. We do not expect the adoption of this guidance to have a material impact on our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48310"/>
                <wp:effectExtent l="0" t="0" r="0" b="0"/>
                <wp:wrapNone/>
                <wp:docPr id="22" name="Frame2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September 2025, the FASB issued ASU 2025-06, “Intangibles - Goodwill and Other - Internal-Use Software (Subtopic 350-40): Targeted Improvements to the Accounting for Internal-Use Software.” This guidance simplifies the capitalization guidance for internal-use software costs by removing all references to prescriptive and sequential software development stages under Subtopic 350-40. This guidance is effective for annual reporting periods beginning after December 15, 2027 and interim reporting periods within those annual reporting periods. Early adoption is permitted. We have not elected to early adopt this guidance. The guidance can be applied prospectively, retrospectively or under a modified transition approach. We are currently evaluating the impacts of the amendments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3: BUSINESS COMBINATIONS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Acquisition of TradePMR</w:t>
      </w:r>
    </w:p>
    <w:p>
      <w:pPr>
        <w:pStyle w:val="TextBody"/>
        <w:bidi w:val="0"/>
        <w:spacing w:lineRule="auto" w:line="288" w:before="0" w:after="200"/>
        <w:ind w:left="0" w:right="0" w:firstLine="360"/>
        <w:jc w:val="both"/>
        <w:rPr/>
      </w:pPr>
      <w:r>
        <w:rPr>
          <w:rFonts w:ascii="Helvetica;sans-serif" w:hAnsi="Helvetica;sans-serif"/>
          <w:b w:val="false"/>
          <w:color w:val="000000"/>
          <w:sz w:val="20"/>
        </w:rPr>
        <w:t>On February 26, 2025, we acquired all of the outstanding equity of TradePMR, a custodial and portfolio management platform for RIAs. The acquisition of TradePMR allows us to deliver investment advisory capabilities to customers by bringing in a scaled RIA custodial and portfolio management platform that connects financial advisors to a new generation of investors.</w:t>
      </w:r>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acquisition date fair value of the consideration transferred for TradePMR was approximately $169 million following customary purchase price adjustments and was entirely paid in cash. The post-close compensation consisted of approximately 2 million unvested shares of the Company’s Class A common stock, valued at approximately $100 million as of the closing date of the acquisition, which will vest over a four-year period post-acquisition, subject to the terms of a vesting agreement. Shares of unvested restricted stock have the same voting rights as all other Class A common stock and are considered to be issued and outstanding. These shares are not part of the equity incentive plans described in Note 12 - Common Stock and Stockholders’ Equity.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the final purchase price allocation of assets acquired and liabilities assumed based on their respective estimated fair values as of the date of acquisition. During the first quarter of 2026, we finalized the purchase price allocation based on changes in management’s estimates and assumptions which did not have a significant impact on the initial purchase price allocation. </w:t>
      </w:r>
    </w:p>
    <w:tbl>
      <w:tblPr>
        <w:tblW w:w="4961" w:type="dxa"/>
        <w:jc w:val="left"/>
        <w:tblInd w:w="0" w:type="dxa"/>
        <w:tblLayout w:type="fixed"/>
        <w:tblCellMar>
          <w:top w:w="28" w:type="dxa"/>
          <w:left w:w="28" w:type="dxa"/>
          <w:bottom w:w="28" w:type="dxa"/>
          <w:right w:w="28" w:type="dxa"/>
        </w:tblCellMar>
      </w:tblPr>
      <w:tblGrid>
        <w:gridCol w:w="1340"/>
        <w:gridCol w:w="1174"/>
        <w:gridCol w:w="1190"/>
        <w:gridCol w:w="109"/>
        <w:gridCol w:w="109"/>
        <w:gridCol w:w="109"/>
        <w:gridCol w:w="232"/>
        <w:gridCol w:w="529"/>
        <w:gridCol w:w="169"/>
      </w:tblGrid>
      <w:tr>
        <w:trPr/>
        <w:tc>
          <w:tcPr>
            <w:tcW w:w="13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Receivables from users,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48310"/>
                <wp:effectExtent l="0" t="0" r="0" b="0"/>
                <wp:wrapNone/>
                <wp:docPr id="23" name="Frame2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excess of purchase consideration over the fair value of net tangible and identifiable intangible assets acquired was recorded as goodwill, which is not deductible for tax purposes. Goodwill is primarily attributed to the assembled workforce of TradePMR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 forma results of operations for TradePMR have not been presented as the effect of this acquisition was not material to our consolidated financial statements.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Acquisition of Bitstamp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June 2, 2025, we acquired all outstanding equity of Bitstamp, a globally-scaled cryptocurrency exchange with institutional and retail customers. This acquisition of Bitstamp accelerates our expansion worldwide, including across the EU, the U.K., and Asia. The acquisition date fair value of the consideration transferred for Bitstamp was approximately $224 million following customary purchase price adjustments and was entirely paid in cash.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final purchase price allocation of assets acquired and liabilities assumed based on their respective estimated fair values as of the date of acquisition. During the second quarter of 2026, we finalized the purchase price allocation based on changes in management’s estimates and assumptions which did not have a significant impact on the initial purchase price allocation.</w:t>
      </w:r>
    </w:p>
    <w:tbl>
      <w:tblPr>
        <w:tblW w:w="7181" w:type="dxa"/>
        <w:jc w:val="left"/>
        <w:tblInd w:w="0" w:type="dxa"/>
        <w:tblLayout w:type="fixed"/>
        <w:tblCellMar>
          <w:top w:w="28" w:type="dxa"/>
          <w:left w:w="28" w:type="dxa"/>
          <w:bottom w:w="28" w:type="dxa"/>
          <w:right w:w="28" w:type="dxa"/>
        </w:tblCellMar>
      </w:tblPr>
      <w:tblGrid>
        <w:gridCol w:w="2143"/>
        <w:gridCol w:w="1877"/>
        <w:gridCol w:w="1904"/>
        <w:gridCol w:w="109"/>
        <w:gridCol w:w="109"/>
        <w:gridCol w:w="109"/>
        <w:gridCol w:w="232"/>
        <w:gridCol w:w="529"/>
        <w:gridCol w:w="169"/>
      </w:tblGrid>
      <w:tr>
        <w:trPr/>
        <w:tc>
          <w:tcPr>
            <w:tcW w:w="214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and securities segregated under federal and other regulations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Receivables from users,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Payables to users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excess of purchase consideration over the fair value of net tangible and identifiable intangible assets acquired was recorded as goodwill, which is not deductible for tax purposes. Goodwill is primarily attributed to the assembled workforce of Bitstamp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 forma results of operations for Bitstamp have not been presented as the effect of this acquisition was not material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48310"/>
                <wp:effectExtent l="0" t="0" r="0" b="0"/>
                <wp:wrapNone/>
                <wp:docPr id="24" name="Frame2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Acquisition of MIAXdx</w:t>
      </w:r>
    </w:p>
    <w:p>
      <w:pPr>
        <w:pStyle w:val="TextBody"/>
        <w:bidi w:val="0"/>
        <w:spacing w:lineRule="auto" w:line="288" w:before="0" w:after="20"/>
        <w:ind w:left="0" w:right="0" w:firstLine="270"/>
        <w:jc w:val="both"/>
        <w:rPr>
          <w:rFonts w:ascii="Helvetica;sans-serif" w:hAnsi="Helvetica;sans-serif"/>
          <w:b w:val="false"/>
          <w:color w:val="000000"/>
          <w:sz w:val="20"/>
        </w:rPr>
      </w:pPr>
      <w:r>
        <w:rPr>
          <w:rFonts w:ascii="Helvetica;sans-serif" w:hAnsi="Helvetica;sans-serif"/>
          <w:b w:val="false"/>
          <w:color w:val="000000"/>
          <w:sz w:val="20"/>
        </w:rPr>
        <w:t xml:space="preserve">In November 2025, we established a joint venture, Rothera, in partnership with SIG, that acquired 90% of the issued and outstanding equity of MIAXdx on January 20, 2026. Following closing, Rothera renamed MIAXdx to Rothera E&amp;C. </w:t>
      </w:r>
    </w:p>
    <w:p>
      <w:pPr>
        <w:pStyle w:val="TextBody"/>
        <w:bidi w:val="0"/>
        <w:spacing w:before="0" w:after="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total consideration paid for the acquisition was approximately $79 million in cash. As MIAXdx was acquired through our joint venture, Rothera, SIG contributed $41 million toward the purchase price and related expenses. During the 3-year period following the closing date, Rothera has the ability to purchase half of the outstanding 10% of MIAXdx held by Miami International Holdings, Inc., subject to certain conditions.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purchase price allocation is based on a preliminary valuation and subject to revision as more detailed analyses are completed and additional information about the fair value of assets acquired and liabilities assumed becomes available, during the measurement period (up to one year from the acquisition date). The following table summarizes the preliminary fair value of assets acquired and liabilities assumed as of the date of acquisition:</w:t>
      </w:r>
    </w:p>
    <w:tbl>
      <w:tblPr>
        <w:tblW w:w="7181" w:type="dxa"/>
        <w:jc w:val="left"/>
        <w:tblInd w:w="0" w:type="dxa"/>
        <w:tblLayout w:type="fixed"/>
        <w:tblCellMar>
          <w:top w:w="28" w:type="dxa"/>
          <w:left w:w="28" w:type="dxa"/>
          <w:bottom w:w="28" w:type="dxa"/>
          <w:right w:w="28" w:type="dxa"/>
        </w:tblCellMar>
      </w:tblPr>
      <w:tblGrid>
        <w:gridCol w:w="2143"/>
        <w:gridCol w:w="1877"/>
        <w:gridCol w:w="1904"/>
        <w:gridCol w:w="109"/>
        <w:gridCol w:w="109"/>
        <w:gridCol w:w="109"/>
        <w:gridCol w:w="265"/>
        <w:gridCol w:w="472"/>
        <w:gridCol w:w="193"/>
      </w:tblGrid>
      <w:tr>
        <w:trPr/>
        <w:tc>
          <w:tcPr>
            <w:tcW w:w="214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and securities segregated under federal and other regulations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Payables to users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excess of purchase consideration over the fair value of net tangible and identifiable intangible assets acquired was recorded as goodwill, which is not deductible for tax purposes. Goodwill is primarily attributed to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components of identifiable intangible assets acquired and their estimated useful lives as of the date of acquisition:</w:t>
      </w:r>
    </w:p>
    <w:tbl>
      <w:tblPr>
        <w:tblW w:w="4521" w:type="dxa"/>
        <w:jc w:val="left"/>
        <w:tblInd w:w="0" w:type="dxa"/>
        <w:tblLayout w:type="fixed"/>
        <w:tblCellMar>
          <w:top w:w="28" w:type="dxa"/>
          <w:left w:w="28" w:type="dxa"/>
          <w:bottom w:w="28" w:type="dxa"/>
          <w:right w:w="28" w:type="dxa"/>
        </w:tblCellMar>
      </w:tblPr>
      <w:tblGrid>
        <w:gridCol w:w="716"/>
        <w:gridCol w:w="630"/>
        <w:gridCol w:w="633"/>
        <w:gridCol w:w="109"/>
        <w:gridCol w:w="109"/>
        <w:gridCol w:w="109"/>
        <w:gridCol w:w="268"/>
        <w:gridCol w:w="478"/>
        <w:gridCol w:w="138"/>
        <w:gridCol w:w="109"/>
        <w:gridCol w:w="109"/>
        <w:gridCol w:w="109"/>
        <w:gridCol w:w="293"/>
        <w:gridCol w:w="293"/>
        <w:gridCol w:w="418"/>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Useful Life</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fair value of the licenses acquired was estimated using the replacement cost method of the cost approach. This method reflects the cost a market participant would incur to re-create the licenses as of the acquisition date. </w:t>
      </w:r>
    </w:p>
    <w:p>
      <w:pPr>
        <w:pStyle w:val="TextBody"/>
        <w:bidi w:val="0"/>
        <w:spacing w:lineRule="auto" w:line="288" w:before="0" w:after="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 forma results of operations for MIAXdx have not been presented as the effect of this acquisition was not material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48310"/>
                <wp:effectExtent l="0" t="0" r="0" b="0"/>
                <wp:wrapNone/>
                <wp:docPr id="25" name="Frame2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br/>
        <w:t>Acquisition of WonderFi</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June 1, 2026, we acquired all outstanding equity of WonderFi, a Canadian leader in digital asset products and services. The acquisition of WonderFi accelerates our expansion into Canada. The acquisition date fair value of the consideration transferred for WonderFi was approximately $178 million and was entirely paid in cash.</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purchase price allocation is based on a preliminary valuation and subject to revision as more detailed analyses are completed and additional information about the fair value of assets acquired and liabilities assumed becomes available, including certain tax matters, during the measurement period (up to one year from the acquisition date). The following table summarizes the preliminary fair value of assets acquired and liabilities assumed as of the date of acquisition:</w:t>
      </w:r>
    </w:p>
    <w:tbl>
      <w:tblPr>
        <w:tblW w:w="7181" w:type="dxa"/>
        <w:jc w:val="left"/>
        <w:tblInd w:w="0" w:type="dxa"/>
        <w:tblLayout w:type="fixed"/>
        <w:tblCellMar>
          <w:top w:w="28" w:type="dxa"/>
          <w:left w:w="28" w:type="dxa"/>
          <w:bottom w:w="28" w:type="dxa"/>
          <w:right w:w="28" w:type="dxa"/>
        </w:tblCellMar>
      </w:tblPr>
      <w:tblGrid>
        <w:gridCol w:w="2143"/>
        <w:gridCol w:w="1877"/>
        <w:gridCol w:w="1904"/>
        <w:gridCol w:w="109"/>
        <w:gridCol w:w="109"/>
        <w:gridCol w:w="109"/>
        <w:gridCol w:w="232"/>
        <w:gridCol w:w="529"/>
        <w:gridCol w:w="169"/>
      </w:tblGrid>
      <w:tr>
        <w:trPr/>
        <w:tc>
          <w:tcPr>
            <w:tcW w:w="214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securities segregated under federal and other regulations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Payables to users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excess of purchase consideration over the fair value of net tangible and identifiable intangible assets acquired was recorded as goodwill, which is not deductible for tax purposes. Goodwill is primarily attributed to the assembled workforce of WonderFi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components of identifiable intangible assets acquired and their estimated useful lives as of the date of acquisition:</w:t>
      </w:r>
    </w:p>
    <w:tbl>
      <w:tblPr>
        <w:tblW w:w="4656" w:type="dxa"/>
        <w:jc w:val="left"/>
        <w:tblInd w:w="0" w:type="dxa"/>
        <w:tblLayout w:type="fixed"/>
        <w:tblCellMar>
          <w:top w:w="28" w:type="dxa"/>
          <w:left w:w="28" w:type="dxa"/>
          <w:bottom w:w="28" w:type="dxa"/>
          <w:right w:w="28" w:type="dxa"/>
        </w:tblCellMar>
      </w:tblPr>
      <w:tblGrid>
        <w:gridCol w:w="765"/>
        <w:gridCol w:w="673"/>
        <w:gridCol w:w="676"/>
        <w:gridCol w:w="109"/>
        <w:gridCol w:w="109"/>
        <w:gridCol w:w="109"/>
        <w:gridCol w:w="268"/>
        <w:gridCol w:w="478"/>
        <w:gridCol w:w="138"/>
        <w:gridCol w:w="109"/>
        <w:gridCol w:w="109"/>
        <w:gridCol w:w="109"/>
        <w:gridCol w:w="293"/>
        <w:gridCol w:w="293"/>
        <w:gridCol w:w="418"/>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Useful Life</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overall weighted average useful life of the identified amortizable intangible assets acquired is 11.02 years. The estimated fair value of the intangible assets acquired approximates the amounts a market participant would pay for these intangible assets as of the acquisition date. We used a multi-period excess earnings method to estimate the fair value of customer relationships acquired, the with and without method to estimate the fair value of the licenses acquired, and the replacement cost method to estimate the fair value of the developed technology acquired.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 forma results of operations for Wonderfi have not been presented as the effect of this acquisition was not material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48310"/>
                <wp:effectExtent l="0" t="0" r="0" b="0"/>
                <wp:wrapNone/>
                <wp:docPr id="26" name="Frame2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4: DECONSOLIDATION OF RVI</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June 25, 2026, we sold a portion of our ownership interest in RVI, resulting in the loss of a controlling financial interest in RVI. Accordingly, we deconsolidated RVI, and no longer include RVI's assets, liabilities, and results of operations in our consolidated financial statements as of that date forward. RHV remains the advisor to RVI and charges a management fee of 2% of RVI's net asset value (“NAV”).</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the deconsolidation, we derecognized all assets and liabilities of RVI at their carrying values of $673 million, net, and the noncontrolling interest in RVI at its carrying value of $322 million, as of June 25, 2026. We received $22 million of cash in consideration for the sale of our shares in RVI. Upon the loss of our controlling financial interest, we remeasured the fair value of our retained interest in RVI at a fair value of $435 million as of June 25, 2026. The fair value of our retained interest in RVI was determined based on the closing market price of RVI common stock on June 25, 2026, a Level 1 input under the fair value hierarchy. Refer to Note 8 - Investments and Fair Value Measurement for further information.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a result, we recognized a gain on deconsolidation of $106 million for the three and six months ended June 30, 2026, which relates to the remeasurement of our retained interest in RVI to fair value at the deconsolidation date. The gain was recognized in other income, net in the unaudited condensed consolidated statements of operations.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Following deconsolidation, we elected the fair value option under ASC 825-10 to account for our retained interest in RVI, with changes in fair value recognized in earnings in the period in which they occur. As of June 30, 2026, the fair value of our retained interest was recorded at $437 million and is included in other current assets 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5: GOODWILL AND INTANGIBLE ASSETS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Goodwill</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carrying amount of goodwill for the period indicated was as follows:</w:t>
      </w:r>
    </w:p>
    <w:tbl>
      <w:tblPr>
        <w:tblW w:w="5395" w:type="dxa"/>
        <w:jc w:val="left"/>
        <w:tblInd w:w="0" w:type="dxa"/>
        <w:tblLayout w:type="fixed"/>
        <w:tblCellMar>
          <w:top w:w="28" w:type="dxa"/>
          <w:left w:w="28" w:type="dxa"/>
          <w:bottom w:w="28" w:type="dxa"/>
          <w:right w:w="28" w:type="dxa"/>
        </w:tblCellMar>
      </w:tblPr>
      <w:tblGrid>
        <w:gridCol w:w="1286"/>
        <w:gridCol w:w="1127"/>
        <w:gridCol w:w="1141"/>
        <w:gridCol w:w="109"/>
        <w:gridCol w:w="109"/>
        <w:gridCol w:w="109"/>
        <w:gridCol w:w="378"/>
        <w:gridCol w:w="861"/>
        <w:gridCol w:w="275"/>
      </w:tblGrid>
      <w:tr>
        <w:trPr/>
        <w:tc>
          <w:tcPr>
            <w:tcW w:w="128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Carrying Amount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Measurement period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was no impairment of goodwill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48310"/>
                <wp:effectExtent l="0" t="0" r="0" b="0"/>
                <wp:wrapNone/>
                <wp:docPr id="27" name="Frame2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Intangible Assets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components of intangible assets, net as of June 30, 2026 were as follows:</w:t>
      </w:r>
    </w:p>
    <w:tbl>
      <w:tblPr>
        <w:tblW w:w="10205" w:type="dxa"/>
        <w:jc w:val="left"/>
        <w:tblInd w:w="0" w:type="dxa"/>
        <w:tblLayout w:type="fixed"/>
        <w:tblCellMar>
          <w:top w:w="28" w:type="dxa"/>
          <w:left w:w="28" w:type="dxa"/>
          <w:bottom w:w="28" w:type="dxa"/>
          <w:right w:w="28" w:type="dxa"/>
        </w:tblCellMar>
      </w:tblPr>
      <w:tblGrid>
        <w:gridCol w:w="1002"/>
        <w:gridCol w:w="612"/>
        <w:gridCol w:w="615"/>
        <w:gridCol w:w="355"/>
        <w:gridCol w:w="809"/>
        <w:gridCol w:w="183"/>
        <w:gridCol w:w="109"/>
        <w:gridCol w:w="109"/>
        <w:gridCol w:w="109"/>
        <w:gridCol w:w="531"/>
        <w:gridCol w:w="947"/>
        <w:gridCol w:w="276"/>
        <w:gridCol w:w="109"/>
        <w:gridCol w:w="109"/>
        <w:gridCol w:w="109"/>
        <w:gridCol w:w="324"/>
        <w:gridCol w:w="739"/>
        <w:gridCol w:w="167"/>
        <w:gridCol w:w="109"/>
        <w:gridCol w:w="109"/>
        <w:gridCol w:w="109"/>
        <w:gridCol w:w="776"/>
        <w:gridCol w:w="776"/>
        <w:gridCol w:w="1112"/>
      </w:tblGrid>
      <w:tr>
        <w:trPr/>
        <w:tc>
          <w:tcPr>
            <w:tcW w:w="100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22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years)</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Remaining Useful Life - Years</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Finite-lived intangible assets:</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12.03</w:t>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 names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Indefinite-lived intangible assets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222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Amortization expense of intangible assets was $7 million and $14 million for the three and six months ended June 30, 2026.</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the estimated future amortization expense of finite-lived intangible assets was as follows:</w:t>
      </w:r>
    </w:p>
    <w:tbl>
      <w:tblPr>
        <w:tblW w:w="4540" w:type="dxa"/>
        <w:jc w:val="left"/>
        <w:tblInd w:w="0" w:type="dxa"/>
        <w:tblLayout w:type="fixed"/>
        <w:tblCellMar>
          <w:top w:w="28" w:type="dxa"/>
          <w:left w:w="28" w:type="dxa"/>
          <w:bottom w:w="28" w:type="dxa"/>
          <w:right w:w="28" w:type="dxa"/>
        </w:tblCellMar>
      </w:tblPr>
      <w:tblGrid>
        <w:gridCol w:w="634"/>
        <w:gridCol w:w="556"/>
        <w:gridCol w:w="564"/>
        <w:gridCol w:w="109"/>
        <w:gridCol w:w="109"/>
        <w:gridCol w:w="109"/>
        <w:gridCol w:w="612"/>
        <w:gridCol w:w="1399"/>
        <w:gridCol w:w="448"/>
      </w:tblGrid>
      <w:tr>
        <w:trPr/>
        <w:tc>
          <w:tcPr>
            <w:tcW w:w="63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Finite-lived Intangible Assets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145 </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48310"/>
                <wp:effectExtent l="0" t="0" r="0" b="0"/>
                <wp:wrapNone/>
                <wp:docPr id="28" name="Frame2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6: REVENUES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Disaggregation of Revenues</w:t>
      </w:r>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The following table presents our revenues disaggregated by revenue source:</w:t>
      </w:r>
    </w:p>
    <w:tbl>
      <w:tblPr>
        <w:tblW w:w="10205" w:type="dxa"/>
        <w:jc w:val="left"/>
        <w:tblInd w:w="0" w:type="dxa"/>
        <w:tblLayout w:type="fixed"/>
        <w:tblCellMar>
          <w:top w:w="28" w:type="dxa"/>
          <w:left w:w="28" w:type="dxa"/>
          <w:bottom w:w="28" w:type="dxa"/>
          <w:right w:w="28" w:type="dxa"/>
        </w:tblCellMar>
      </w:tblPr>
      <w:tblGrid>
        <w:gridCol w:w="2049"/>
        <w:gridCol w:w="1792"/>
        <w:gridCol w:w="1816"/>
        <w:gridCol w:w="298"/>
        <w:gridCol w:w="210"/>
        <w:gridCol w:w="211"/>
        <w:gridCol w:w="149"/>
        <w:gridCol w:w="149"/>
        <w:gridCol w:w="149"/>
        <w:gridCol w:w="303"/>
        <w:gridCol w:w="292"/>
        <w:gridCol w:w="294"/>
        <w:gridCol w:w="109"/>
        <w:gridCol w:w="109"/>
        <w:gridCol w:w="109"/>
        <w:gridCol w:w="271"/>
        <w:gridCol w:w="292"/>
        <w:gridCol w:w="294"/>
        <w:gridCol w:w="133"/>
        <w:gridCol w:w="133"/>
        <w:gridCol w:w="133"/>
        <w:gridCol w:w="271"/>
        <w:gridCol w:w="275"/>
        <w:gridCol w:w="364"/>
      </w:tblGrid>
      <w:tr>
        <w:trPr/>
        <w:tc>
          <w:tcPr>
            <w:tcW w:w="204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5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5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602</w:t>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Event contracts</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w:t>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w:t>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w:t>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w:t>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1,399</w:t>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Helvetica;sans-serif" w:hAnsi="Helvetica;sans-serif"/>
                <w:b w:val="false"/>
                <w:color w:val="000000"/>
                <w:sz w:val="20"/>
              </w:rPr>
            </w:pPr>
            <w:r>
              <w:rPr>
                <w:rFonts w:ascii="Helvetica;sans-serif" w:hAnsi="Helvetica;sans-serif"/>
                <w:b w:val="false"/>
                <w:color w:val="000000"/>
                <w:sz w:val="20"/>
              </w:rPr>
              <w:t>408</w:t>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cash equivalents, securities, and deposits, net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w:t>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Helvetica;sans-serif" w:hAnsi="Helvetica;sans-serif"/>
                <w:b w:val="false"/>
                <w:color w:val="000000"/>
                <w:sz w:val="20"/>
              </w:rPr>
            </w:pPr>
            <w:r>
              <w:rPr>
                <w:rFonts w:ascii="Helvetica;sans-serif" w:hAnsi="Helvetica;sans-serif"/>
                <w:b w:val="false"/>
                <w:color w:val="000000"/>
                <w:sz w:val="20"/>
              </w:rPr>
              <w:t>86</w:t>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net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Helvetica;sans-serif" w:hAnsi="Helvetica;sans-serif"/>
                <w:b w:val="false"/>
                <w:color w:val="000000"/>
                <w:sz w:val="20"/>
              </w:rPr>
            </w:pPr>
            <w:r>
              <w:rPr>
                <w:rFonts w:ascii="Helvetica;sans-serif" w:hAnsi="Helvetica;sans-serif"/>
                <w:b w:val="false"/>
                <w:color w:val="000000"/>
                <w:sz w:val="20"/>
              </w:rPr>
              <w:t>72</w:t>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w:t>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Helvetica;sans-serif" w:hAnsi="Helvetica;sans-serif"/>
                <w:b w:val="false"/>
                <w:color w:val="000000"/>
                <w:sz w:val="20"/>
              </w:rPr>
            </w:pPr>
            <w:r>
              <w:rPr>
                <w:rFonts w:ascii="Helvetica;sans-serif" w:hAnsi="Helvetica;sans-serif"/>
                <w:b w:val="false"/>
                <w:color w:val="000000"/>
                <w:sz w:val="20"/>
              </w:rPr>
              <w:t>14</w:t>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w:t>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Gold subscription revenues</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Proxy revenues</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other revenues </w:t>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989</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1,916</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2,375</w:t>
            </w:r>
          </w:p>
        </w:tc>
      </w:tr>
    </w:tbl>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The following table presents interest revenue earned and interest expense paid from securities lending:</w:t>
      </w:r>
    </w:p>
    <w:tbl>
      <w:tblPr>
        <w:tblW w:w="6285" w:type="dxa"/>
        <w:jc w:val="left"/>
        <w:tblInd w:w="0" w:type="dxa"/>
        <w:tblLayout w:type="fixed"/>
        <w:tblCellMar>
          <w:top w:w="28" w:type="dxa"/>
          <w:left w:w="28" w:type="dxa"/>
          <w:bottom w:w="28" w:type="dxa"/>
          <w:right w:w="28" w:type="dxa"/>
        </w:tblCellMar>
      </w:tblPr>
      <w:tblGrid>
        <w:gridCol w:w="745"/>
        <w:gridCol w:w="651"/>
        <w:gridCol w:w="65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48310"/>
                <wp:effectExtent l="0" t="0" r="0" b="0"/>
                <wp:wrapNone/>
                <wp:docPr id="29" name="Frame2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before="0" w:after="200"/>
        <w:jc w:val="both"/>
        <w:rPr/>
      </w:pPr>
      <w:r>
        <w:rPr/>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The following table presents interest revenue earned from segregated cash, cash equivalents, securities, and deposits, and interest expense paid to users on uninvested cash and option deposits:</w:t>
      </w:r>
    </w:p>
    <w:tbl>
      <w:tblPr>
        <w:tblW w:w="10205" w:type="dxa"/>
        <w:jc w:val="left"/>
        <w:tblInd w:w="0" w:type="dxa"/>
        <w:tblLayout w:type="fixed"/>
        <w:tblCellMar>
          <w:top w:w="28" w:type="dxa"/>
          <w:left w:w="28" w:type="dxa"/>
          <w:bottom w:w="28" w:type="dxa"/>
          <w:right w:w="28" w:type="dxa"/>
        </w:tblCellMar>
      </w:tblPr>
      <w:tblGrid>
        <w:gridCol w:w="2221"/>
        <w:gridCol w:w="1929"/>
        <w:gridCol w:w="1929"/>
        <w:gridCol w:w="211"/>
        <w:gridCol w:w="376"/>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5"/>
      </w:tblGrid>
      <w:tr>
        <w:trPr/>
        <w:tc>
          <w:tcPr>
            <w:tcW w:w="2221"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6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cash equivalents, securities, and deposits,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Contract Balances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 organizations while other revenue receivables related to proxy revenues due from issuers are reported in other current assets on the unaudited condensed consolidated balance sheets.</w:t>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contract liabilities include $59 million of unearned Robinhood Gold subscription revenue, recognized when users remit cash payments in advance of the time we satisfy our performance obligations. The unearned subscription revenue was recorded as other current liabilities on the unaudited condensed consolidated balance sheets. Contract liabilities also include $13 million of TradePMR performance obligations acquired as part of the TradePMR acquisition, with $8 million recorded in other current liabilities and $5 million in other non-current liabilities which was recorded on the unaudited condensed consolidated balance sheets. This liability represents consideration received in advance of satisfying the related performance obligations and is subject to repayment if certain contractual conditions are not met.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contract receivables and liabilities balances for the period indicated:</w:t>
      </w:r>
    </w:p>
    <w:tbl>
      <w:tblPr>
        <w:tblW w:w="7719" w:type="dxa"/>
        <w:jc w:val="left"/>
        <w:tblInd w:w="0" w:type="dxa"/>
        <w:tblLayout w:type="fixed"/>
        <w:tblCellMar>
          <w:top w:w="28" w:type="dxa"/>
          <w:left w:w="28" w:type="dxa"/>
          <w:bottom w:w="28" w:type="dxa"/>
          <w:right w:w="28" w:type="dxa"/>
        </w:tblCellMar>
      </w:tblPr>
      <w:tblGrid>
        <w:gridCol w:w="1313"/>
        <w:gridCol w:w="1149"/>
        <w:gridCol w:w="1168"/>
        <w:gridCol w:w="109"/>
        <w:gridCol w:w="109"/>
        <w:gridCol w:w="109"/>
        <w:gridCol w:w="469"/>
        <w:gridCol w:w="1072"/>
        <w:gridCol w:w="244"/>
        <w:gridCol w:w="109"/>
        <w:gridCol w:w="109"/>
        <w:gridCol w:w="109"/>
        <w:gridCol w:w="468"/>
        <w:gridCol w:w="836"/>
        <w:gridCol w:w="346"/>
      </w:tblGrid>
      <w:tr>
        <w:trPr/>
        <w:tc>
          <w:tcPr>
            <w:tcW w:w="131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Contract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Contract Liabilities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of the period,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 of the period,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difference between the opening and ending balances of our contract receivables was primarily driven by higher options and equities transaction-based revenues, the timing differences between our performance and counterparty payments, and an increase in proxy revenues.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difference between the opening and ending balances of our contract liabilities was primarily driven by growth in annual Robinhood Gold subscriptions, including growth in Robinhood Gold Card holders within that subscriber base, partially offset by the recognition of a portion of TradePMR’s performance obligation, as well as timing differences between our performance and customer billing.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48310"/>
                <wp:effectExtent l="0" t="0" r="0" b="0"/>
                <wp:wrapNone/>
                <wp:docPr id="30" name="Frame2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7: ALLOWANCE FOR CREDIT LOSSES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Allowance for Credit Losses - Brokerage Related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the brokerage related allowance for credit losses, which is primarily related to fraudulent activities, included in receivables from users, net on the unaudited condensed consolidated balance sheet: </w:t>
      </w:r>
    </w:p>
    <w:tbl>
      <w:tblPr>
        <w:tblW w:w="6555" w:type="dxa"/>
        <w:jc w:val="left"/>
        <w:tblInd w:w="0" w:type="dxa"/>
        <w:tblLayout w:type="fixed"/>
        <w:tblCellMar>
          <w:top w:w="28" w:type="dxa"/>
          <w:left w:w="28" w:type="dxa"/>
          <w:bottom w:w="28" w:type="dxa"/>
          <w:right w:w="28" w:type="dxa"/>
        </w:tblCellMar>
      </w:tblPr>
      <w:tblGrid>
        <w:gridCol w:w="862"/>
        <w:gridCol w:w="755"/>
        <w:gridCol w:w="767"/>
        <w:gridCol w:w="109"/>
        <w:gridCol w:w="109"/>
        <w:gridCol w:w="109"/>
        <w:gridCol w:w="215"/>
        <w:gridCol w:w="384"/>
        <w:gridCol w:w="111"/>
        <w:gridCol w:w="111"/>
        <w:gridCol w:w="111"/>
        <w:gridCol w:w="111"/>
        <w:gridCol w:w="215"/>
        <w:gridCol w:w="384"/>
        <w:gridCol w:w="111"/>
        <w:gridCol w:w="109"/>
        <w:gridCol w:w="109"/>
        <w:gridCol w:w="109"/>
        <w:gridCol w:w="211"/>
        <w:gridCol w:w="376"/>
        <w:gridCol w:w="109"/>
        <w:gridCol w:w="109"/>
        <w:gridCol w:w="109"/>
        <w:gridCol w:w="109"/>
        <w:gridCol w:w="211"/>
        <w:gridCol w:w="37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Allowance for Credit Losses - Credit Card Related</w:t>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two types of allowance for credit losses related to credit cards: i) an allowance related to off-balance sheet credit card receivables, shown as part of accounts payable and accrued expenses on the unaudited condensed consolidated balance sheet, and ii) an allowance related to purchased credit card receivables and interest receivable from customers, included in receivables from users, net on the unaudited condensed consolidated balance sheet.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allowance related to off-balance sheet credit card receivables:</w:t>
      </w:r>
    </w:p>
    <w:p>
      <w:pPr>
        <w:pStyle w:val="TextBody"/>
        <w:bidi w:val="0"/>
        <w:spacing w:before="0" w:after="0"/>
        <w:ind w:left="0" w:right="0" w:firstLine="360"/>
        <w:jc w:val="both"/>
        <w:rPr/>
      </w:pPr>
      <w:r>
        <w:rPr/>
      </w:r>
    </w:p>
    <w:tbl>
      <w:tblPr>
        <w:tblW w:w="6848" w:type="dxa"/>
        <w:jc w:val="left"/>
        <w:tblInd w:w="0" w:type="dxa"/>
        <w:tblLayout w:type="fixed"/>
        <w:tblCellMar>
          <w:top w:w="28" w:type="dxa"/>
          <w:left w:w="28" w:type="dxa"/>
          <w:bottom w:w="28" w:type="dxa"/>
          <w:right w:w="28" w:type="dxa"/>
        </w:tblCellMar>
      </w:tblPr>
      <w:tblGrid>
        <w:gridCol w:w="889"/>
        <w:gridCol w:w="779"/>
        <w:gridCol w:w="791"/>
        <w:gridCol w:w="109"/>
        <w:gridCol w:w="109"/>
        <w:gridCol w:w="109"/>
        <w:gridCol w:w="215"/>
        <w:gridCol w:w="384"/>
        <w:gridCol w:w="111"/>
        <w:gridCol w:w="111"/>
        <w:gridCol w:w="111"/>
        <w:gridCol w:w="111"/>
        <w:gridCol w:w="215"/>
        <w:gridCol w:w="384"/>
        <w:gridCol w:w="111"/>
        <w:gridCol w:w="109"/>
        <w:gridCol w:w="109"/>
        <w:gridCol w:w="109"/>
        <w:gridCol w:w="211"/>
        <w:gridCol w:w="376"/>
        <w:gridCol w:w="109"/>
        <w:gridCol w:w="109"/>
        <w:gridCol w:w="109"/>
        <w:gridCol w:w="109"/>
        <w:gridCol w:w="211"/>
        <w:gridCol w:w="376"/>
        <w:gridCol w:w="109"/>
        <w:gridCol w:w="109"/>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to Coastal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48310"/>
                <wp:effectExtent l="0" t="0" r="0" b="0"/>
                <wp:wrapNone/>
                <wp:docPr id="31" name="Frame3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Helvetica;sans-serif" w:hAnsi="Helvetica;sans-serif"/>
          <w:b w:val="false"/>
          <w:color w:val="000000"/>
          <w:sz w:val="20"/>
        </w:rPr>
        <w:t>The following table summarizes the allowance related to purchased credit card receivables and</w:t>
      </w:r>
      <w:r>
        <w:rPr>
          <w:color w:val="000000"/>
        </w:rPr>
        <w:t xml:space="preserve"> </w:t>
      </w:r>
      <w:r>
        <w:rPr>
          <w:rFonts w:ascii="Helvetica;sans-serif" w:hAnsi="Helvetica;sans-serif"/>
          <w:b w:val="false"/>
          <w:color w:val="000000"/>
          <w:sz w:val="20"/>
        </w:rPr>
        <w:t xml:space="preserve">interest receivables from customers: </w:t>
      </w:r>
    </w:p>
    <w:p>
      <w:pPr>
        <w:pStyle w:val="TextBody"/>
        <w:bidi w:val="0"/>
        <w:spacing w:before="0" w:after="0"/>
        <w:ind w:left="0" w:right="0" w:firstLine="360"/>
        <w:jc w:val="both"/>
        <w:rPr/>
      </w:pPr>
      <w:r>
        <w:rPr/>
      </w:r>
    </w:p>
    <w:tbl>
      <w:tblPr>
        <w:tblW w:w="6731" w:type="dxa"/>
        <w:jc w:val="left"/>
        <w:tblInd w:w="0" w:type="dxa"/>
        <w:tblLayout w:type="fixed"/>
        <w:tblCellMar>
          <w:top w:w="28" w:type="dxa"/>
          <w:left w:w="28" w:type="dxa"/>
          <w:bottom w:w="28" w:type="dxa"/>
          <w:right w:w="28" w:type="dxa"/>
        </w:tblCellMar>
      </w:tblPr>
      <w:tblGrid>
        <w:gridCol w:w="862"/>
        <w:gridCol w:w="755"/>
        <w:gridCol w:w="767"/>
        <w:gridCol w:w="109"/>
        <w:gridCol w:w="109"/>
        <w:gridCol w:w="109"/>
        <w:gridCol w:w="211"/>
        <w:gridCol w:w="376"/>
        <w:gridCol w:w="109"/>
        <w:gridCol w:w="109"/>
        <w:gridCol w:w="109"/>
        <w:gridCol w:w="109"/>
        <w:gridCol w:w="211"/>
        <w:gridCol w:w="481"/>
        <w:gridCol w:w="109"/>
        <w:gridCol w:w="109"/>
        <w:gridCol w:w="109"/>
        <w:gridCol w:w="109"/>
        <w:gridCol w:w="211"/>
        <w:gridCol w:w="376"/>
        <w:gridCol w:w="109"/>
        <w:gridCol w:w="109"/>
        <w:gridCol w:w="109"/>
        <w:gridCol w:w="109"/>
        <w:gridCol w:w="211"/>
        <w:gridCol w:w="481"/>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present the aging analysis of our credit card receivables for the periods presented and the delinquency aging includes all past due principal on loans. Accrued interest receivable of $9 million and $13 million as of December 31, 2025, and as of June 30, 2026, were not included in the tables below.</w:t>
      </w:r>
    </w:p>
    <w:tbl>
      <w:tblPr>
        <w:tblW w:w="10011" w:type="dxa"/>
        <w:jc w:val="left"/>
        <w:tblInd w:w="0" w:type="dxa"/>
        <w:tblLayout w:type="fixed"/>
        <w:tblCellMar>
          <w:top w:w="28" w:type="dxa"/>
          <w:left w:w="28" w:type="dxa"/>
          <w:bottom w:w="28" w:type="dxa"/>
          <w:right w:w="28" w:type="dxa"/>
        </w:tblCellMar>
      </w:tblPr>
      <w:tblGrid>
        <w:gridCol w:w="929"/>
        <w:gridCol w:w="815"/>
        <w:gridCol w:w="820"/>
        <w:gridCol w:w="248"/>
        <w:gridCol w:w="128"/>
        <w:gridCol w:w="335"/>
        <w:gridCol w:w="109"/>
        <w:gridCol w:w="109"/>
        <w:gridCol w:w="109"/>
        <w:gridCol w:w="282"/>
        <w:gridCol w:w="145"/>
        <w:gridCol w:w="382"/>
        <w:gridCol w:w="109"/>
        <w:gridCol w:w="109"/>
        <w:gridCol w:w="109"/>
        <w:gridCol w:w="313"/>
        <w:gridCol w:w="162"/>
        <w:gridCol w:w="425"/>
        <w:gridCol w:w="109"/>
        <w:gridCol w:w="109"/>
        <w:gridCol w:w="109"/>
        <w:gridCol w:w="757"/>
        <w:gridCol w:w="390"/>
        <w:gridCol w:w="1027"/>
        <w:gridCol w:w="109"/>
        <w:gridCol w:w="109"/>
        <w:gridCol w:w="109"/>
        <w:gridCol w:w="500"/>
        <w:gridCol w:w="258"/>
        <w:gridCol w:w="787"/>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5"/>
              </w:rPr>
            </w:pPr>
            <w:r>
              <w:rPr>
                <w:rFonts w:ascii="Helvetica;sans-serif" w:hAnsi="Helvetica;sans-serif"/>
                <w:b w:val="false"/>
                <w:i/>
                <w:color w:val="000000"/>
                <w:sz w:val="15"/>
              </w:rPr>
              <w:t>(in millions, except for percentages)</w:t>
            </w:r>
          </w:p>
        </w:tc>
        <w:tc>
          <w:tcPr>
            <w:tcW w:w="74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Aging of receivables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Helvetica;sans-serif" w:hAnsi="Helvetica;sans-serif"/>
                <w:b/>
                <w:color w:val="000000"/>
                <w:sz w:val="16"/>
              </w:rPr>
              <w: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 past due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Receivables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On-balance sheet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Off-balance sheet</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credit card loans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of Total loans</w:t>
            </w:r>
          </w:p>
        </w:tc>
        <w:tc>
          <w:tcPr>
            <w:tcW w:w="37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3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8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2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2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7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tbl>
      <w:tblPr>
        <w:tblW w:w="10131" w:type="dxa"/>
        <w:jc w:val="left"/>
        <w:tblInd w:w="0" w:type="dxa"/>
        <w:tblLayout w:type="fixed"/>
        <w:tblCellMar>
          <w:top w:w="28" w:type="dxa"/>
          <w:left w:w="28" w:type="dxa"/>
          <w:bottom w:w="28" w:type="dxa"/>
          <w:right w:w="28" w:type="dxa"/>
        </w:tblCellMar>
      </w:tblPr>
      <w:tblGrid>
        <w:gridCol w:w="929"/>
        <w:gridCol w:w="815"/>
        <w:gridCol w:w="820"/>
        <w:gridCol w:w="245"/>
        <w:gridCol w:w="160"/>
        <w:gridCol w:w="426"/>
        <w:gridCol w:w="109"/>
        <w:gridCol w:w="109"/>
        <w:gridCol w:w="109"/>
        <w:gridCol w:w="282"/>
        <w:gridCol w:w="145"/>
        <w:gridCol w:w="382"/>
        <w:gridCol w:w="109"/>
        <w:gridCol w:w="109"/>
        <w:gridCol w:w="109"/>
        <w:gridCol w:w="313"/>
        <w:gridCol w:w="162"/>
        <w:gridCol w:w="425"/>
        <w:gridCol w:w="109"/>
        <w:gridCol w:w="109"/>
        <w:gridCol w:w="109"/>
        <w:gridCol w:w="757"/>
        <w:gridCol w:w="390"/>
        <w:gridCol w:w="1027"/>
        <w:gridCol w:w="109"/>
        <w:gridCol w:w="109"/>
        <w:gridCol w:w="109"/>
        <w:gridCol w:w="500"/>
        <w:gridCol w:w="258"/>
        <w:gridCol w:w="787"/>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5"/>
              </w:rPr>
            </w:pPr>
            <w:r>
              <w:rPr>
                <w:rFonts w:ascii="Helvetica;sans-serif" w:hAnsi="Helvetica;sans-serif"/>
                <w:b w:val="false"/>
                <w:i/>
                <w:color w:val="000000"/>
                <w:sz w:val="15"/>
              </w:rPr>
              <w:t>(in millions, except for percentages)</w:t>
            </w:r>
          </w:p>
        </w:tc>
        <w:tc>
          <w:tcPr>
            <w:tcW w:w="75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Aging of receivables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Helvetica;sans-serif" w:hAnsi="Helvetica;sans-serif"/>
                <w:b/>
                <w:color w:val="000000"/>
                <w:sz w:val="16"/>
              </w:rPr>
              <w: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 past due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Receivables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On-balance sheet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1,243</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Off-balance sheet</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credit card loans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1,457</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of Total loans</w:t>
            </w:r>
          </w:p>
        </w:tc>
        <w:tc>
          <w:tcPr>
            <w:tcW w:w="40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4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8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2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2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7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risk in our credit card receivables portfolio correlates to broad economic trends as well as customers’ financial condition. The key indicator we monitor when assessing the credit quality and risk is customers’ credit scores as they measure the creditworthiness of customers. We use a national third-party provider to update FICO credit scores on a monthly basis. The updated scores are incorporated into a series of credit management reports, which are utilized to monitor risk. The table below presents our credit card receivables by our credit quality indicator, FICO score, including both on-balance sheet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48310"/>
                <wp:effectExtent l="0" t="0" r="0" b="0"/>
                <wp:wrapNone/>
                <wp:docPr id="32" name="Frame3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68" w:before="0" w:after="200"/>
        <w:jc w:val="both"/>
        <w:rPr>
          <w:rFonts w:ascii="Helvetica;sans-serif" w:hAnsi="Helvetica;sans-serif"/>
          <w:b w:val="false"/>
          <w:color w:val="000000"/>
          <w:sz w:val="20"/>
        </w:rPr>
      </w:pPr>
      <w:r>
        <w:rPr>
          <w:rFonts w:ascii="Helvetica;sans-serif" w:hAnsi="Helvetica;sans-serif"/>
          <w:b w:val="false"/>
          <w:color w:val="000000"/>
          <w:sz w:val="20"/>
        </w:rPr>
        <w:t>off-balance sheet amounts, as of December 31, 2025 and June 30, 2026. Our receivables by FICO scores:</w:t>
      </w:r>
    </w:p>
    <w:tbl>
      <w:tblPr>
        <w:tblW w:w="8471" w:type="dxa"/>
        <w:jc w:val="left"/>
        <w:tblInd w:w="0" w:type="dxa"/>
        <w:tblLayout w:type="fixed"/>
        <w:tblCellMar>
          <w:top w:w="28" w:type="dxa"/>
          <w:left w:w="28" w:type="dxa"/>
          <w:bottom w:w="28" w:type="dxa"/>
          <w:right w:w="28" w:type="dxa"/>
        </w:tblCellMar>
      </w:tblPr>
      <w:tblGrid>
        <w:gridCol w:w="912"/>
        <w:gridCol w:w="802"/>
        <w:gridCol w:w="806"/>
        <w:gridCol w:w="255"/>
        <w:gridCol w:w="783"/>
        <w:gridCol w:w="132"/>
        <w:gridCol w:w="109"/>
        <w:gridCol w:w="109"/>
        <w:gridCol w:w="109"/>
        <w:gridCol w:w="301"/>
        <w:gridCol w:w="301"/>
        <w:gridCol w:w="792"/>
        <w:gridCol w:w="109"/>
        <w:gridCol w:w="109"/>
        <w:gridCol w:w="109"/>
        <w:gridCol w:w="211"/>
        <w:gridCol w:w="646"/>
        <w:gridCol w:w="109"/>
        <w:gridCol w:w="109"/>
        <w:gridCol w:w="109"/>
        <w:gridCol w:w="109"/>
        <w:gridCol w:w="285"/>
        <w:gridCol w:w="285"/>
        <w:gridCol w:w="870"/>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FICO scores)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of Total loans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Below 640</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640-690</w:t>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870"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Greater than 690</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credit card loans </w:t>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1,040 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870"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8: INVESTMENTS AND FAIR VALUE MEASUREMENT</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Fair Value of Financial Instruments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Financial assets and liabilities measured at fair value on a recurring basis were presented on our unaudited condensed consolidated balance sheets as follows:</w:t>
      </w:r>
    </w:p>
    <w:tbl>
      <w:tblPr>
        <w:tblW w:w="10205" w:type="dxa"/>
        <w:jc w:val="left"/>
        <w:tblInd w:w="0" w:type="dxa"/>
        <w:tblLayout w:type="fixed"/>
        <w:tblCellMar>
          <w:top w:w="28" w:type="dxa"/>
          <w:left w:w="28" w:type="dxa"/>
          <w:bottom w:w="28" w:type="dxa"/>
          <w:right w:w="28" w:type="dxa"/>
        </w:tblCellMar>
      </w:tblPr>
      <w:tblGrid>
        <w:gridCol w:w="2582"/>
        <w:gridCol w:w="1559"/>
        <w:gridCol w:w="1577"/>
        <w:gridCol w:w="211"/>
        <w:gridCol w:w="646"/>
        <w:gridCol w:w="109"/>
        <w:gridCol w:w="109"/>
        <w:gridCol w:w="109"/>
        <w:gridCol w:w="109"/>
        <w:gridCol w:w="211"/>
        <w:gridCol w:w="406"/>
        <w:gridCol w:w="109"/>
        <w:gridCol w:w="109"/>
        <w:gridCol w:w="109"/>
        <w:gridCol w:w="109"/>
        <w:gridCol w:w="211"/>
        <w:gridCol w:w="481"/>
        <w:gridCol w:w="109"/>
        <w:gridCol w:w="109"/>
        <w:gridCol w:w="109"/>
        <w:gridCol w:w="109"/>
        <w:gridCol w:w="211"/>
        <w:gridCol w:w="646"/>
        <w:gridCol w:w="156"/>
      </w:tblGrid>
      <w:tr>
        <w:trPr/>
        <w:tc>
          <w:tcPr>
            <w:tcW w:w="2582"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5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securities segregated under federal and other regulations: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Treasury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Deposits with clearing organizations: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U.S. Treasury securities</w:t>
            </w:r>
            <w:r>
              <w:rPr>
                <w:rFonts w:ascii="Helvetica;sans-serif" w:hAnsi="Helvetica;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U.S. Treasury securities </w:t>
            </w:r>
            <w:r>
              <w:rPr>
                <w:rFonts w:ascii="Helvetica;sans-serif" w:hAnsi="Helvetica;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Stablecoin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 - securities owned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Non-marketable securities</w:t>
            </w:r>
            <w:r>
              <w:rPr>
                <w:color w:val="000000"/>
              </w:rPr>
              <w:t xml:space="preserve"> </w:t>
            </w:r>
            <w:r>
              <w:rPr>
                <w:rFonts w:ascii="Helvetica;sans-serif" w:hAnsi="Helvetica;sans-serif"/>
                <w:b w:val="false"/>
                <w:color w:val="000000"/>
                <w:sz w:val="13"/>
              </w:rPr>
              <w:t xml:space="preserve">(3)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 - escrow account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User-held fractional shares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Fractional shares repurchase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48310"/>
                <wp:effectExtent l="0" t="0" r="0" b="0"/>
                <wp:wrapNone/>
                <wp:docPr id="33" name="Frame3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613"/>
        <w:gridCol w:w="1581"/>
        <w:gridCol w:w="1599"/>
        <w:gridCol w:w="211"/>
        <w:gridCol w:w="646"/>
        <w:gridCol w:w="109"/>
        <w:gridCol w:w="109"/>
        <w:gridCol w:w="109"/>
        <w:gridCol w:w="109"/>
        <w:gridCol w:w="211"/>
        <w:gridCol w:w="406"/>
        <w:gridCol w:w="109"/>
        <w:gridCol w:w="109"/>
        <w:gridCol w:w="109"/>
        <w:gridCol w:w="109"/>
        <w:gridCol w:w="211"/>
        <w:gridCol w:w="406"/>
        <w:gridCol w:w="109"/>
        <w:gridCol w:w="109"/>
        <w:gridCol w:w="109"/>
        <w:gridCol w:w="109"/>
        <w:gridCol w:w="211"/>
        <w:gridCol w:w="646"/>
        <w:gridCol w:w="156"/>
      </w:tblGrid>
      <w:tr>
        <w:trPr/>
        <w:tc>
          <w:tcPr>
            <w:tcW w:w="2613"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4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r>
      <w:tr>
        <w:trPr/>
        <w:tc>
          <w:tcPr>
            <w:tcW w:w="5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Helvetica;sans-serif" w:hAnsi="Helvetica;sans-serif"/>
                <w:b/>
                <w:color w:val="000000"/>
                <w:sz w:val="16"/>
              </w:rPr>
            </w:pPr>
            <w:r>
              <w:rPr>
                <w:rFonts w:ascii="Helvetica;sans-serif" w:hAnsi="Helvetica;sans-serif"/>
                <w:b/>
                <w:color w:val="000000"/>
                <w:sz w:val="16"/>
              </w:rPr>
              <w:t>Total</w:t>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securities segregated under federal and other regulations: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Treasury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Deposits with clearing organizations: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U.S. Treasury securities</w:t>
            </w:r>
            <w:r>
              <w:rPr>
                <w:rFonts w:ascii="Helvetica;sans-serif" w:hAnsi="Helvetica;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 - securities owned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Stablecoin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Non-marketable securities</w:t>
            </w:r>
            <w:r>
              <w:rPr>
                <w:color w:val="000000"/>
              </w:rPr>
              <w:t xml:space="preserve"> </w:t>
            </w:r>
            <w:r>
              <w:rPr>
                <w:rFonts w:ascii="Helvetica;sans-serif" w:hAnsi="Helvetica;sans-serif"/>
                <w:b w:val="false"/>
                <w:color w:val="000000"/>
                <w:sz w:val="13"/>
              </w:rPr>
              <w:t xml:space="preserve">(3)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 - escrow account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User-held fractional shares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Fractional shares repurchase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Helvetica;sans-serif" w:hAnsi="Helvetica;sans-serif"/>
          <w:b w:val="false"/>
          <w:color w:val="000000"/>
          <w:sz w:val="20"/>
        </w:rPr>
      </w:pPr>
      <w:r>
        <w:rPr>
          <w:rFonts w:ascii="Helvetica;sans-serif" w:hAnsi="Helvetica;sans-serif"/>
          <w:b w:val="false"/>
          <w:color w:val="000000"/>
          <w:sz w:val="20"/>
        </w:rPr>
        <w:br/>
        <w:t>____________________________</w:t>
      </w:r>
    </w:p>
    <w:p>
      <w:pPr>
        <w:pStyle w:val="TextBody"/>
        <w:bidi w:val="0"/>
        <w:spacing w:lineRule="auto" w:line="288" w:before="0" w:after="20"/>
        <w:jc w:val="both"/>
        <w:rPr/>
      </w:pPr>
      <w:r>
        <w:rPr>
          <w:rFonts w:ascii="Helvetica;sans-serif" w:hAnsi="Helvetica;sans-serif"/>
          <w:b w:val="false"/>
          <w:color w:val="000000"/>
          <w:sz w:val="13"/>
        </w:rPr>
        <w:t xml:space="preserve">(1) </w:t>
      </w:r>
      <w:r>
        <w:rPr>
          <w:rFonts w:ascii="Helvetica;sans-serif" w:hAnsi="Helvetica;sans-serif"/>
          <w:b w:val="false"/>
          <w:color w:val="000000"/>
          <w:sz w:val="16"/>
        </w:rPr>
        <w:t>As of December 31, 2025 and June 30, 2026, $1 million of our U.S. Treasury securities are deposited with an exchange to enable the execution, clearing, and settlement of event contracts. As of June 30, 2026, $399 million of our U.S. Treasury securities were pledged to a clearing organization to meet margin requirements for our security lending program.</w:t>
      </w:r>
    </w:p>
    <w:p>
      <w:pPr>
        <w:pStyle w:val="TextBody"/>
        <w:bidi w:val="0"/>
        <w:spacing w:lineRule="auto" w:line="288" w:before="0" w:after="20"/>
        <w:jc w:val="both"/>
        <w:rPr/>
      </w:pPr>
      <w:r>
        <w:rPr>
          <w:rFonts w:ascii="Helvetica;sans-serif" w:hAnsi="Helvetica;sans-serif"/>
          <w:b w:val="false"/>
          <w:color w:val="000000"/>
          <w:sz w:val="13"/>
        </w:rPr>
        <w:t xml:space="preserve">(2) </w:t>
      </w:r>
      <w:r>
        <w:rPr>
          <w:rFonts w:ascii="Helvetica;sans-serif" w:hAnsi="Helvetica;sans-serif"/>
          <w:b w:val="false"/>
          <w:color w:val="000000"/>
          <w:sz w:val="16"/>
        </w:rPr>
        <w:t>Classified as trading securities in which the amortized cost approximates fair value as of December 31, 2025.</w:t>
      </w:r>
    </w:p>
    <w:p>
      <w:pPr>
        <w:pStyle w:val="TextBody"/>
        <w:bidi w:val="0"/>
        <w:spacing w:lineRule="auto" w:line="288" w:before="0" w:after="200"/>
        <w:jc w:val="both"/>
        <w:rPr/>
      </w:pPr>
      <w:r>
        <w:rPr>
          <w:rFonts w:ascii="Helvetica;sans-serif" w:hAnsi="Helvetica;sans-serif"/>
          <w:b w:val="false"/>
          <w:color w:val="000000"/>
          <w:sz w:val="13"/>
        </w:rPr>
        <w:t xml:space="preserve">(3) </w:t>
      </w:r>
      <w:r>
        <w:rPr>
          <w:rFonts w:ascii="Helvetica;sans-serif" w:hAnsi="Helvetica;sans-serif"/>
          <w:b w:val="false"/>
          <w:color w:val="000000"/>
          <w:sz w:val="16"/>
        </w:rPr>
        <w:t>Represents non-marketable equity securities for which RHV is the advisor.</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Investments in non-marketable equity securities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a summary of the changes in the estimated fair value of investments in non-marketable equity securities classified as a Level 3 in the fair value hierarchy for which RHV is the advisor:</w:t>
      </w:r>
    </w:p>
    <w:tbl>
      <w:tblPr>
        <w:tblW w:w="4818" w:type="dxa"/>
        <w:jc w:val="left"/>
        <w:tblInd w:w="0" w:type="dxa"/>
        <w:tblLayout w:type="fixed"/>
        <w:tblCellMar>
          <w:top w:w="28" w:type="dxa"/>
          <w:left w:w="28" w:type="dxa"/>
          <w:bottom w:w="28" w:type="dxa"/>
          <w:right w:w="28" w:type="dxa"/>
        </w:tblCellMar>
      </w:tblPr>
      <w:tblGrid>
        <w:gridCol w:w="1318"/>
        <w:gridCol w:w="1154"/>
        <w:gridCol w:w="1173"/>
        <w:gridCol w:w="109"/>
        <w:gridCol w:w="109"/>
        <w:gridCol w:w="109"/>
        <w:gridCol w:w="211"/>
        <w:gridCol w:w="481"/>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of period,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Purchases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De-recognition upon RVI deconsolidation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 of period,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 xml:space="preserve">During the six months ended June 30, 2026, we had no transfers in or out of Level 3 assets or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48310"/>
                <wp:effectExtent l="0" t="0" r="0" b="0"/>
                <wp:wrapNone/>
                <wp:docPr id="34" name="Frame3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Investments for which RHV is the advisor measured using Level 3 inputs primarily consist of investments in privately-held investments. Recent financing transactions in the investee are generally considered the best indication of the enterprise value and therefore used as a basis to estimate fair value. When a recent financing transaction occurs and represents fair value, the Company also uses the calibration process, as appropriate, when estimating fair value on subsequent measurement dates. Calibration is the process of using observed transactions in the investee company’s own instruments to ensure that the valuation techniques that will be employed to value the investee company investment on subsequent measurement dates begin with assumptions that are consistent with the original observed transaction and any more recent observed transactions in the instruments issued by the investee company as well as any updates regarding the investee company’s performance. As of June 30, 2026, the Company determined the fair value of investments for which RHV is the advisor based on recent transactions of each of the investees.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for certain financial instruments that are not required to be measured or reported at fair value was presented as follows:</w:t>
      </w:r>
    </w:p>
    <w:tbl>
      <w:tblPr>
        <w:tblW w:w="6555" w:type="dxa"/>
        <w:jc w:val="left"/>
        <w:tblInd w:w="0" w:type="dxa"/>
        <w:tblLayout w:type="fixed"/>
        <w:tblCellMar>
          <w:top w:w="28" w:type="dxa"/>
          <w:left w:w="28" w:type="dxa"/>
          <w:bottom w:w="28" w:type="dxa"/>
          <w:right w:w="28" w:type="dxa"/>
        </w:tblCellMar>
      </w:tblPr>
      <w:tblGrid>
        <w:gridCol w:w="775"/>
        <w:gridCol w:w="677"/>
        <w:gridCol w:w="693"/>
        <w:gridCol w:w="211"/>
        <w:gridCol w:w="406"/>
        <w:gridCol w:w="109"/>
        <w:gridCol w:w="109"/>
        <w:gridCol w:w="109"/>
        <w:gridCol w:w="109"/>
        <w:gridCol w:w="211"/>
        <w:gridCol w:w="646"/>
        <w:gridCol w:w="109"/>
        <w:gridCol w:w="109"/>
        <w:gridCol w:w="109"/>
        <w:gridCol w:w="109"/>
        <w:gridCol w:w="211"/>
        <w:gridCol w:w="406"/>
        <w:gridCol w:w="109"/>
        <w:gridCol w:w="109"/>
        <w:gridCol w:w="109"/>
        <w:gridCol w:w="109"/>
        <w:gridCol w:w="211"/>
        <w:gridCol w:w="646"/>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Helvetica;sans-serif" w:hAnsi="Helvetica;sans-serif"/>
                <w:b/>
                <w:color w:val="000000"/>
                <w:sz w:val="16"/>
              </w:rPr>
            </w:pPr>
            <w:r>
              <w:rPr>
                <w:rFonts w:ascii="Helvetica;sans-serif" w:hAnsi="Helvetica;sans-serif"/>
                <w:b/>
                <w:color w:val="000000"/>
                <w:sz w:val="16"/>
              </w:rPr>
              <w:t>Total</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Convertible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9: INCOME TAXES</w:t>
      </w:r>
    </w:p>
    <w:tbl>
      <w:tblPr>
        <w:tblW w:w="7697" w:type="dxa"/>
        <w:jc w:val="left"/>
        <w:tblInd w:w="0" w:type="dxa"/>
        <w:tblLayout w:type="fixed"/>
        <w:tblCellMar>
          <w:top w:w="28" w:type="dxa"/>
          <w:left w:w="28" w:type="dxa"/>
          <w:bottom w:w="28" w:type="dxa"/>
          <w:right w:w="28" w:type="dxa"/>
        </w:tblCellMar>
      </w:tblPr>
      <w:tblGrid>
        <w:gridCol w:w="939"/>
        <w:gridCol w:w="826"/>
        <w:gridCol w:w="829"/>
        <w:gridCol w:w="211"/>
        <w:gridCol w:w="481"/>
        <w:gridCol w:w="286"/>
        <w:gridCol w:w="109"/>
        <w:gridCol w:w="109"/>
        <w:gridCol w:w="109"/>
        <w:gridCol w:w="211"/>
        <w:gridCol w:w="481"/>
        <w:gridCol w:w="286"/>
        <w:gridCol w:w="109"/>
        <w:gridCol w:w="109"/>
        <w:gridCol w:w="109"/>
        <w:gridCol w:w="211"/>
        <w:gridCol w:w="481"/>
        <w:gridCol w:w="286"/>
        <w:gridCol w:w="109"/>
        <w:gridCol w:w="109"/>
        <w:gridCol w:w="109"/>
        <w:gridCol w:w="211"/>
        <w:gridCol w:w="646"/>
        <w:gridCol w:w="331"/>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percentages)</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Effective tax rate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tax provision for interim periods is determined using an estimated annual effective tax rate (“ETR”), adjusted for discrete items arising in the period. In each quarter, we update our estimated annual ETR and make a year-to-date calculation of the provision.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the three and six months ended June 30, 2025, the ETR was lower than the U.S. federal statutory rate primarily due to excess tax benefits from SBC.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three months ended June 30, 2026, the ETR was lower than the U.S. federal statutory rate primarily due to the excess tax benefits from SBC and the release of the valuation allowance on certain California deferred tax assets. For the six months ended June 30, 2026, the ETR was lower than the U.S. federal statutory rate primarily due to excess tax benefits from SBC.</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realization of tax benefits of net deferred assets is dependent upon future levels of taxable income, of an appropriate character, in the periods the items are expected to be deductible or taxable. Based on the available objective evidence for the six months ended June 30, 2026, we believe it is more likely than not that the tax benefits of certain California, other U.S. states and certain foreign net deferred tax assets may not be realized until sufficient positive evidence exists to support reversal of the valuation allowance.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48310"/>
                <wp:effectExtent l="0" t="0" r="0" b="0"/>
                <wp:wrapNone/>
                <wp:docPr id="35" name="Frame3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10: SECURITIES BORROWING AND LENDING</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securities lending transactions are subject to enforceable master netting arrangements with other broker-dealers; however, we do not net securities borrowing and lending transactions. Therefore, activity related to securities borrowing and lending activities is presented gross on our unaudited condensed consolidated balance sheets.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When we borrow securities from users participating in the Fully-Paid Securities Lending program or from third parties, we provide cash collateral to our users or third parties, which is recorded on our consolidated balance sheets as “securities borrowed”, an asset, representing our rights to the return of that collateral. When we lend securities to third parties and users, we receive cash as collateral, which is recorded on our consolidated balance sheets as “securities loaned”, a liability, representing our obligation to return the collateral.</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set forth certain balances related to our securities borrowing and lending activities as of December 31, 2025 and June 30, 2026:</w:t>
      </w:r>
    </w:p>
    <w:tbl>
      <w:tblPr>
        <w:tblW w:w="10205" w:type="dxa"/>
        <w:jc w:val="left"/>
        <w:tblInd w:w="0" w:type="dxa"/>
        <w:tblLayout w:type="fixed"/>
        <w:tblCellMar>
          <w:top w:w="28" w:type="dxa"/>
          <w:left w:w="28" w:type="dxa"/>
          <w:bottom w:w="28" w:type="dxa"/>
          <w:right w:w="28" w:type="dxa"/>
        </w:tblCellMar>
      </w:tblPr>
      <w:tblGrid>
        <w:gridCol w:w="2871"/>
        <w:gridCol w:w="2346"/>
        <w:gridCol w:w="2384"/>
        <w:gridCol w:w="227"/>
        <w:gridCol w:w="812"/>
        <w:gridCol w:w="117"/>
        <w:gridCol w:w="109"/>
        <w:gridCol w:w="109"/>
        <w:gridCol w:w="109"/>
        <w:gridCol w:w="211"/>
        <w:gridCol w:w="751"/>
        <w:gridCol w:w="159"/>
      </w:tblGrid>
      <w:tr>
        <w:trPr/>
        <w:tc>
          <w:tcPr>
            <w:tcW w:w="2871"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r>
          </w:p>
        </w:tc>
      </w:tr>
      <w:tr>
        <w:trPr/>
        <w:tc>
          <w:tcPr>
            <w:tcW w:w="7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7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Assets</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Securities borrowed</w:t>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 cash collateral provided to users for securities borrowing transactions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offset on the consolidated balance sheets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of assets presented on the consolidated balance sheets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not offset on the consolidated balance sheets: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collateral provided to users and third parties for securities borrowing transactions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6,036 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of securities borrowed from users and third parties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amount</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Liabilities</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Securities loaned</w:t>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 cash collateral received from counterparties for securities lending transactions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offset on the consolidated balance sheets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of liabilities presented on the consolidated balance sheets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not offset on the consolidated balance sheets: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collateral received from counterparties for securities lending transactions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20,536 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of securities pledged to counterparties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(19,951)</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amount</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obtain securities on terms that permit us to pledge and/or transfer securities to others. As of December 31, 2025 and June 30, 2026, we were permitted to re-pledge securities with a fair value of $23.62 billion and $29.81 billion under margin account agreements with users, and securities with insignificant fair value that we borrowed under MSLAs with third parties. Under the Fully-Paid Securities Lending program, as of December 31, 2025 and June 30, 2026, we were permitted to borrow securities with a fair value of $75.88 billion and $96.25 billion including securities with a fair value of $2.35 billion and $6.00 billion that we had borrowed from users.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48310"/>
                <wp:effectExtent l="0" t="0" r="0" b="0"/>
                <wp:wrapNone/>
                <wp:docPr id="36" name="Frame3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2025 and June 30, 2026, we had re-pledged securities with a fair value of $10.90 billion and $19.95 billion, in each case under MSLAs and Fixed-Term Securities Lending Agreements with third parties. In addition, as of December 31, 2025 and June 30, 2026, we had re-pledged $2.83 billion and $4.67 billion of the permitted amounts under the margin account agreements with clearing organizations to meet deposit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11: FINANCING ACTIVITIES AND OFF-BALANCE SHEET RISK</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Convertible Notes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June 25, 2026, we issued $2.2 billion aggregate principal amount of 0.00% convertible senior notes due 2029 pursuant to an indenture between RHM and U.S. Bank Trust Company, National Association, as trustee, in a private offering pursuant to Rule 144A under the Securities Act. The Convertible Notes are senior unsecured obligations of RHM. The $2.2 billion aggregate principal amount of the Convertible Notes included $200 million in aggregate principal amount of Notes issued pursuant to the initial purchasers’ option to purchase additional Convertible Notes on the same terms and conditions, which the initial purchasers exercised in full on June 23, 2026.The Convertible Notes do not bear regular interest , and the principal amount of the Notes will not accrete. The Convertible Notes will mature on October 1, 2029, unless earlier repurchased, redeemed, or converted. We may pay special interest on the Notes under certain circumstances in accordance with the terms of the Indenture. </w:t>
      </w:r>
    </w:p>
    <w:p>
      <w:pPr>
        <w:pStyle w:val="TextBody"/>
        <w:bidi w:val="0"/>
        <w:spacing w:lineRule="auto" w:line="288" w:before="20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the offering of the Convertible Notes, we used approximately $290 million of the net proceeds from the offering of the Convertible Notes to repurchase approximately 2.7 million shares of our Class A common stock in privately negotiated transactions effected with or through one of the initial purchasers of the Convertible Notes or its affiliate at a purchase price per share equal to $105.71, the last reported sale price of our Class A common stock on the Nasdaq Global Select Market on June 22, 2026.</w:t>
      </w:r>
    </w:p>
    <w:p>
      <w:pPr>
        <w:pStyle w:val="TextBody"/>
        <w:bidi w:val="0"/>
        <w:spacing w:lineRule="auto" w:line="288" w:before="20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Convertible Notes are carried at amortized cost. Debt issuance costs of approximately $30.6 million, which include underwriter discounts and offering expenses, are presented as a direct deduction from the carrying amount of the Convertible Notes and are amortized to interest expense over the contractual term of the Convertible Notes using the effective interest method. The effective interest rate of the Convertible Notes is 0.43%. The dilution impact was accounted for using the if-converted method; refer to Note 13 - Net Income (Loss) per Share for more information. As of June 30, 2026, the outstanding principal amount is $2.20 billion, and the net carrying amount is $2.17 billion.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the remaining unamortized debt issuance costs were $30.5 million with a remaining amortization period of approximately 3.26 years. As of June 30, 2026, the Convertible Notes are potentially convertible into 12.6 million shares of Class A common stock, and no shares were actually issued upon conversion.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Indenture contains customary covenants and events of default, including non-payment of principal or interest when due, breach of other obligations, and cross-acceleration, each subject to grace periods and other terms specified in the Indenture. Upon such an event of default, the Convertible Notes may be declared immediately due and payable. The Indenture also sets forth certain bankruptcy or insolvency events of default involving the Company, after which the Convertible Notes become automatically due and payable. The Indenture also limits mergers, consolidations, and sales of all or substantially all assets of the Company, and imposes certain reporting obligations, among other things.</w:t>
      </w:r>
    </w:p>
    <w:p>
      <w:pPr>
        <w:pStyle w:val="TextBody"/>
        <w:bidi w:val="0"/>
        <w:spacing w:before="0" w:after="0"/>
        <w:ind w:left="0" w:right="0" w:firstLine="360"/>
        <w:jc w:val="both"/>
        <w:rPr/>
      </w:pPr>
      <w:r>
        <w:rPr/>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Settlement</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required to settle any conversion by paying cash up to the aggregate principal amount of the Convertible Notes being converted, with any excess settled in cash, shares of our Class A common stock, or a combination thereof, at our election.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48310"/>
                <wp:effectExtent l="0" t="0" r="0" b="0"/>
                <wp:wrapNone/>
                <wp:docPr id="37" name="Frame3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Conversion</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Convertible Notes are convertible at the option of the holders, prior to the close of business on the business day immediately preceding July 1, 2029, if certain conditions related to their trading price or our share price are met, certain corporate events or distributions occur, or they are called for redemption. On or after July 1, 2029 until the close of business on the second scheduled trading day immediately preceding the maturity date, the Convertible Notes are freely convertible by the holders.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initial conversion rate of the Convertible Notes is 5.7332 shares of our Class A common stock per $1,000 principal amount, which is equivalent to an initial conversion price of approximately $174.42 per share of Class A common stock (representing a 65% premium to the $105.71 June 22, 2026 closing price).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conversion rate is subject to adjustment in certain circumstances under the Indenture. In addition, the Company will, in certain circumstances, increase the conversion rate for holders who elect to convert the Convertible Notes in connection with certain corporate events or who convert the Convertible Notes ,called for redemption during the related redemption period (as defined in the Indenture). </w:t>
      </w:r>
    </w:p>
    <w:p>
      <w:pPr>
        <w:pStyle w:val="TextBody"/>
        <w:bidi w:val="0"/>
        <w:spacing w:before="0" w:after="0"/>
        <w:ind w:left="0" w:right="0" w:firstLine="360"/>
        <w:jc w:val="both"/>
        <w:rPr/>
      </w:pPr>
      <w:r>
        <w:rPr/>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 xml:space="preserve">Redemption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may not redeem the Convertible Notes prior to July 1, 2028, except when the aggregate outstanding principal amount of the Convertible Notes is less than $100 million and certain other conditions are satisfied.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may redeem for cash all or any portion of the Convertible Notes (subject to certain limitations), at our option, on or after July 1, 2028 and prior to the twenty-first scheduled trading day immediately preceding the maturity date, if the last reported sale price of our Class A common stock has been at least 120% of the conversion price for a set period as specified in the Indenture, at a redemption price equal to 100% of the principal amount of the Notes to be redeemed, plus any accrued and unpaid special interest, to, but excluding, the redemption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 event of a fundamental change, holders may require the Company to repurchase the Convertible Notes at a repurchase price equal to 100% of the principal amount, plus accrued and unpaid special interest, if any. </w:t>
      </w:r>
    </w:p>
    <w:p>
      <w:pPr>
        <w:pStyle w:val="TextBody"/>
        <w:bidi w:val="0"/>
        <w:spacing w:before="80" w:after="283"/>
        <w:ind w:left="0" w:right="0" w:firstLine="360"/>
        <w:jc w:val="both"/>
        <w:rPr/>
      </w:pPr>
      <w:r>
        <w:rPr/>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Capped Calls Transactions</w:t>
      </w:r>
    </w:p>
    <w:p>
      <w:pPr>
        <w:pStyle w:val="TextBody"/>
        <w:bidi w:val="0"/>
        <w:spacing w:lineRule="auto" w:line="288" w:before="20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June 22, 2026, in connection with the pricing of the Convertible Notes, and on June 23, 2026, in connection with the initial purchasers’ exercise in full of their option to purchase additional Convertible Notes, we entered into privately negotiated Capped Calls transactions with certain of the initial purchasers or their respective affiliates and certain other financial institutions at a cost of $123.2 million. The Capped Calls initially cover, subject to customary anti-dilution adjustments, the number of shares initially underlying the notes sold in the offering</w:t>
      </w:r>
    </w:p>
    <w:p>
      <w:pPr>
        <w:pStyle w:val="TextBody"/>
        <w:bidi w:val="0"/>
        <w:spacing w:lineRule="auto" w:line="288" w:before="20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Capped Calls are expected generally to reduce the potential dilution to our Class A common stock upon any conversion of the Convertible Notes and/or offset any potential cash payments we are required to make in excess of the principal amount of converted Convertible Notes, as the case may be, with such reduction and/or offset subject to a cap based on the cap price. The Capped Calls were recorded as a reduction to additional paid-in capital and will not be remeasured. </w:t>
      </w:r>
    </w:p>
    <w:p>
      <w:pPr>
        <w:pStyle w:val="TextBody"/>
        <w:bidi w:val="0"/>
        <w:spacing w:lineRule="auto" w:line="288" w:before="20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Capped Calls have an initial strike price of $174.4227 per share of Class A common stock subject to certain adjustments, and an initial cap price of approximately $237.8475 per share of Class A common stock, subject to certain adjustments. Conditions that cause adjustments to the initial cap price mirror conditions that result in corresponding adjustments for the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48310"/>
                <wp:effectExtent l="0" t="0" r="0" b="0"/>
                <wp:wrapNone/>
                <wp:docPr id="38" name="Frame3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before="20" w:after="283"/>
        <w:ind w:left="0" w:right="0" w:firstLine="360"/>
        <w:jc w:val="both"/>
        <w:rPr/>
      </w:pPr>
      <w:r>
        <w:rPr/>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Revolving Credit Facilities</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RHM March 2026 Credit Agreement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March 9, 2026, RHM entered into the RHM March 2026 Credit Agreement, amending and restating the unsecured revolving line of credit entered into in March 2024 and first amended in March 2025 (refer to Note 11 - Financing Activities and Off-Balance Sheet Risk, of the 2025 Form 10-K for more information). The RHM March 2026 Credit Agreement has an initial commitment of $1.0 billion with a maturity date of March 21, 2028. Under circumstances described in the RHM March 2026 Credit Agreement, the aggregate commitments may be increased from time to time by up to $500 million in the aggregate (the “Accordion”), for a total commitment of up to $1.50 billion. Borrowings under the RHM March 2026 Credit Agreement will bear interest at a rate per annum equal to the Alternate Base Rate or Adjusted Term SOFR plus an applicable margin rate of 1.50%. For purposes of the RHM March 2026 Credit Agreement, the Alternate Base Rate is the greatest of (i) the prime rate then in effect, (ii) the Federal Reserve Bank of New York rate then in effect plus 0.5% and (iii) the Adjusted Term SOFR for a one month interest period plus 1.0%. The Adjusted Term SOFR Rate is equal to the Term SOFR, published by the Term SOFR Administrator, plus the Term SOFR Adjustment. The Term SOFR Adjustment is 0.10%. If the Adjusted Term SOFR Rate is less than the floor of 0%, such rate shall be deemed to be equal to the floor. RHM is obligated to pay a commitment fee calculated at a per annum rate equal to 0.25% on any unused amount.</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RHS March 2026 Credit Agreement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March 20, 2026, RHS, our wholly-owned subsidiary, entered into the RHS March 2026 Credit Agreement among RHS, as borrower, the lenders party thereto, and JPMorgan Chase Bank, N.A., as administrative agent, amending and restating the $2.65 billion 364-day senior secured revolving credit facility entered into in March 2025 (refer to Note 11 - Financing Activities and Off-Balance Sheet Risk, of the 2025 Form 10-K for more information).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RHS March 2026 Credit Agreement provides for a 364-day senior secured revolving credit facility with a total commitment of $3.25 billion. Under circumstances described in the RHS March 2026 Credit Agreement, the aggregate commitments may be increased by up to $1.625 billion via an accordion feature, for a total commitment of $4.875 billion. Borrowings under the credit facility must be specified to be Tranche A, Tranche B, Tranche C or a combination thereof, with each tranche being secured by different assets of RHS as set forth in the RHS March 2026 Credit Agreement. Borrowings under the RHS March 2026 Credit Agreement will bear interest at a rate per annum equal to the greatest of (i) Daily Simple SOFR (as defined in the RHS March 2026 Credit Agreement), (ii) the Federal Funds Effective Rate (as defined in the RHS March 2026 Credit Agreement) and (iii) the Overnight Bank Funding Rate (as defined in the RHS March 2026 Credit Agreement), in each case, as of the day the loan is initiated, plus an applicable margin rate. The applicable margin rate is 1.25% for Tranche A loans and 2.50% for Tranche B and Tranche C loans. Undrawn commitments will accrue commitment fees at a rate per annum equal to 0.45%.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RHS March 2026 Credit Agreement requires RHS to maintain a minimum consolidated tangible net worth and a minimum excess net capital, and subjects RHS to a specified limit on minimum net capital to aggregate debit items. In addition, the RHS March 2026 Credit Agreement contains certain customary affirmative and negative covenants, including limitations with respect to debt, liens, fundamental changes, asset sales, restricted payments, investments and transactions with affiliates, subject to certain exceptions. Amounts due under the RHS March 2026 Credit Agreement may be accelerated upon an “event of default,” as defined in the RHS March 2026 Credit Agreement, such as failure to pay amounts owed thereunder when due, breach of a covenant, material inaccuracy of a representation, or occurrence of bankruptcy or insolvency, subject in some cases to cure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48310"/>
                <wp:effectExtent l="0" t="0" r="0" b="0"/>
                <wp:wrapNone/>
                <wp:docPr id="39" name="Frame3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2025 and June 30, 2026, there were no borrowings outstanding and we were in compliance with all covenants, as applicable, under our revolving credit facilities.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Credit Card Funding Trust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terms of the Coastal Bank Program Agreement (discussed below), Robinhood Credit has the ability to purchase credit card receivables originated and held for a period of time by Coastal Bank. Robinhood Credit continues to earn interest from customers and uses these purchased credit card receivables as collateral under a trust structure to access debt financing in the ordinary course of business. To help facilitate these transactions, we created a VIE known as the Trust.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the primary beneficiary of the Trust as, through our role as the servicer and administrator, we have the power to direct the activities that most significantly affect the Trust’s economic performance and, due to owning all the equity interest in the Trust, have the right to receive benefits or the obligation to absorb losses. As such, we consolidate the Trust in the unaudited condensed consolidated financial statements. Substantially all of the Trust’s assets and liabilities are the purchased credit card receivables, included in receivables from users, net, and the outstanding borrowing, included in other current liabilities, on the unaudited condensed consolidated balance sheets.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exposure to losses in the Trust is limited to the carrying value of net assets held by the Trust, including expected credit losses related to the purchased credit card receivables (Refer to Note 7 - Allowance for Credit Losses). For the Trust, the creditors have no recourse to our general credit and the liabilities of the Trust can only be settled by the Trust’s assets. Additionally, the assets of the Trust can only be used to settle obligations of the Trust.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the Trust maintained six revolving borrowing arrangements (with Barclays, SVB, Wells Fargo, Truist Bank, Goldman Sachs, and Mizuho) providing an aggregate commitment limit of $1.55 billion. These facilities have revolving periods ending between November 2026 and April 2029. Borrowings generally bear interest at a commercial paper rate, Term SOFR, or Daily Simple SOFR plus applicable margins ranging from 1.30% to 1.50%. Undrawn amounts accrue commitment fees between 0.20% and 0.35%. As of June 30, 2026, the weighted-average interest rate of the active arrangements was 5.06%.</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year ended December 31, 2025 and during the six months ended June 30, 2026, the Trust purchased $5.2 billion and $6.2 billion of credit card receivables. As of December 31, 2025 and June 30, 2026, the carrying value of purchased credit card receivables that had not been collected, net of provision for credit losses, was $786 million and $1.1 billion, and the outstanding balance of borrowing principal and interest was $602 million and $959 million. For the three and six months ended June 30, 2025, the net interest revenue of the Trust was $8 million and $12 million. For the three and six months ended June 30, 2026, the net interest revenue of the Trust was $34 million and $61 million.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July 23, 2026, the Trust completed an inaugural issuance of $500 million of Series 2026-1 asset-backed notes, which are secured primarily by a pool of credit card receivables originated by Coastal Bank and part of the Trust collateral. The offering consisted of four classes of fixed-rate notes that were issued to qualified institutional buyers in a private offering pursuant to Rule 144A and Regulation S under the Securities Act. The notes have a revolving period ending in June 2029, with a final maturity date in July 2031. The notes have a weighted average coupon of approximately 4.86%.</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Off-Balance Sheet Risk</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Coastal Bank Program Agreement</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a program agreement between us and Coastal Bank (the “Program Agreement”) most recently amended in March 2026, Coastal Bank may fund up to $500 million of credit card receivables. Robinhood Credit pays Coastal Bank interest based on the average balance of advances during the month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48310"/>
                <wp:effectExtent l="0" t="0" r="0" b="0"/>
                <wp:wrapNone/>
                <wp:docPr id="40" name="Frame3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federal funds rate plus a margin of 2.65% on the first $300 million and 1.15% on such amounts in excess of $300 million.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credit card receivables and the funding from Coastal Bank are off-balance sheet, considering Coastal Bank is the legal lender and originator, the party to which the customer has a creditor-borrower relationship, and the legal owner of the receivables. As of June 30, 2026, the off-balance sheet credit card receivables funded under the Program Agreement was $214 million. </w:t>
      </w:r>
    </w:p>
    <w:p>
      <w:pPr>
        <w:pStyle w:val="TextBody"/>
        <w:bidi w:val="0"/>
        <w:spacing w:before="0" w:after="0"/>
        <w:ind w:left="0" w:right="0" w:firstLine="72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Transaction Settlement</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users have ownership of the securities they transact on our platforms, including those that collateralize margin loans, and, as a result, such securities are not presented on our unaudited condensed consolidated balance sheets. In the normal course of business, we engage in activities involving settlement and financing of securities transactions. User securities transactions are recorded on a settlement date basis. The settlement date for equities and options is one business day after the trade date. These activities may expose us to off-balance sheet risk in the event that the other party to the transaction is unable to fulfill its contractual obligations. In such events, we may be required to purchase financial instruments at prevailing market prices in order to fulfill our obligations. </w:t>
      </w:r>
    </w:p>
    <w:p>
      <w:pPr>
        <w:pStyle w:val="TextBody"/>
        <w:bidi w:val="0"/>
        <w:spacing w:before="0" w:after="0"/>
        <w:ind w:left="0" w:right="0" w:firstLine="720"/>
        <w:jc w:val="left"/>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Cryptocurrency Held in Custody on Behalf of Users</w:t>
      </w:r>
    </w:p>
    <w:p>
      <w:pPr>
        <w:pStyle w:val="TextBody"/>
        <w:bidi w:val="0"/>
        <w:spacing w:before="0" w:after="0"/>
        <w:jc w:val="both"/>
        <w:rPr/>
      </w:pPr>
      <w:r>
        <w:rPr/>
      </w:r>
    </w:p>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We hold cryptocurrencies in custody on behalf of our users which includes staked assets on our platform, totaling $38.2 billion and </w:t>
      </w:r>
      <w:r>
        <w:rPr>
          <w:rFonts w:ascii="Helvetica;sans-serif" w:hAnsi="Helvetica;sans-serif"/>
          <w:b w:val="false"/>
          <w:color w:val="242424"/>
          <w:sz w:val="20"/>
        </w:rPr>
        <w:t>$26.3 billion</w:t>
      </w:r>
      <w:r>
        <w:rPr>
          <w:color w:val="000000"/>
        </w:rPr>
        <w:t xml:space="preserve"> </w:t>
      </w:r>
      <w:r>
        <w:rPr>
          <w:rFonts w:ascii="Helvetica;sans-serif" w:hAnsi="Helvetica;sans-serif"/>
          <w:b w:val="false"/>
          <w:color w:val="000000"/>
          <w:sz w:val="20"/>
        </w:rPr>
        <w:t xml:space="preserve">at fair value at December 31, 2025 and June 30, 2026, and these assets were not recorded on our unaudited condensed consolidated balance sheets. The fair value was determined based on observed market pricing representing the last price executed for trades of each cryptocurrency at period ends. We also considered whether a liability representing anticipated losses from crypto assets that we hold in custody on behalf of users should be recognized and determined the likelihood of such losses was remote. As such, we did not record a liability at December 31, 2025 and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12: COMMON STOCK AND STOCKHOLDERS’ EQUITY</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Preferred Stock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no terms of the preferred stock were designated and no shares of preferred stock were outstanding.</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Common Stock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Charter or applicable law.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Warrants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we had outstanding warrants with a strike price of $26.60 that can be exercised to purchase 8.74 million shares of Class A common stock. The warrants expire on February 12, 2031 and can be exercised with cash or net shares settled at the holder’s option. For the six months ended June 30, 2026, no warrants were exercised via net settlement, resulting in no shares of Class A common stock issued, and the maximum purchase amount of all remaining outstanding warrants was $232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48310"/>
                <wp:effectExtent l="0" t="0" r="0" b="0"/>
                <wp:wrapNone/>
                <wp:docPr id="41" name="Frame4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i/>
          <w:color w:val="000000"/>
          <w:sz w:val="24"/>
          <w:shd w:fill="FFFFFF" w:val="clear"/>
        </w:rPr>
      </w:pPr>
      <w:r>
        <w:rPr>
          <w:rFonts w:ascii="Helvetica;sans-serif" w:hAnsi="Helvetica;sans-serif"/>
          <w:b/>
          <w:i/>
          <w:color w:val="000000"/>
          <w:sz w:val="24"/>
          <w:shd w:fill="FFFFFF" w:val="clear"/>
        </w:rPr>
        <w:t>Share Repurchase Program</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March 24, 2026, the Company announced that its board of directors approved the Repurchase Program authorizing the Company to repurchase up to $1.5 billion of its outstanding Class A common stock. The Repurchase Program replaced the Prior Repurchase Program and is inclusive of amounts that remained available for repurchase under the Prior Repurchase Program which were rolled over into the Repurchase Program, and represents more than $1.1 billion of incremental capacity. While the Repurchase Program does not have an expiration date, management currently expects to conduct the Repurchase Program over a period of approximately three years, beginning in the first quarter of 2026.</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timing and amount of repurchase transactions will be determined by us from time to time at our discretion based on our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the Company to acquire any particular amount of Class A common stock, and the Repurchase Program may be suspended or discontinued at any time at our discretion.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three and six months ended June 30, 2026, we repurchased approximately 1.7 million and 4.8 million shares of our Class A common stock for $124 million and $374 million under our Repurchase Program. In addition, we repurchased 2.7 million shares of our Class A common stock for $290 million using the net proceeds from the offering of the Convertible Notes during the current period. Refer to Note 11 - Financing Activities and Off-Balance Sheet Risk for more details.</w:t>
      </w:r>
    </w:p>
    <w:p>
      <w:pPr>
        <w:pStyle w:val="TextBody"/>
        <w:bidi w:val="0"/>
        <w:spacing w:before="0" w:after="0"/>
        <w:ind w:left="0" w:right="0" w:firstLine="360"/>
        <w:jc w:val="left"/>
        <w:rPr/>
      </w:pPr>
      <w:r>
        <w:rPr/>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Equity Incentive Plans</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2021 Omnibus Incentive Plan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2021 Plan became effective on July 27, 2021, and provides for the grant of share-based awards (such as options, including ISOs, NSOs, SARs, RSAs, RSUs, performance restricted stock units (“PSUs”), and other equity-based awards) and cash-based awards.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an aggregate of 537 million shares had been authorized for issuance under the 2013 Plan, 2020 Plan, and 2021 Plan, of which 179 million shares had been issued under the plans, 11 million shares were reserved for issuance upon the exercise or settlement of outstanding equity awards under the plans, and 347 million shares remained available for new grants under the 2021 Plan.</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Time-Based RSUs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grant RSUs that vest upon the satisfaction of a time-based service condition. The following table summarizes the activity related to our Time-Based RSUs for the six months ended June 30, 2026, which is the period we grant our company-wide annual refresh grants: </w:t>
      </w:r>
    </w:p>
    <w:tbl>
      <w:tblPr>
        <w:tblW w:w="9564" w:type="dxa"/>
        <w:jc w:val="left"/>
        <w:tblInd w:w="0" w:type="dxa"/>
        <w:tblLayout w:type="fixed"/>
        <w:tblCellMar>
          <w:top w:w="28" w:type="dxa"/>
          <w:left w:w="28" w:type="dxa"/>
          <w:bottom w:w="28" w:type="dxa"/>
          <w:right w:w="28" w:type="dxa"/>
        </w:tblCellMar>
      </w:tblPr>
      <w:tblGrid>
        <w:gridCol w:w="1654"/>
        <w:gridCol w:w="1457"/>
        <w:gridCol w:w="1463"/>
        <w:gridCol w:w="474"/>
        <w:gridCol w:w="474"/>
        <w:gridCol w:w="476"/>
        <w:gridCol w:w="109"/>
        <w:gridCol w:w="109"/>
        <w:gridCol w:w="109"/>
        <w:gridCol w:w="676"/>
        <w:gridCol w:w="2070"/>
        <w:gridCol w:w="493"/>
      </w:tblGrid>
      <w:tr>
        <w:trPr/>
        <w:tc>
          <w:tcPr>
            <w:tcW w:w="165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weighted average grant date fair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December 31, 2025</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29.92 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76.32 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35.32 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51.87 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June 30, 2026</w:t>
            </w:r>
          </w:p>
        </w:tc>
        <w:tc>
          <w:tcPr>
            <w:tcW w:w="9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60.92 </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Performance Restricted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48310"/>
                <wp:effectExtent l="0" t="0" r="0" b="0"/>
                <wp:wrapNone/>
                <wp:docPr id="42" name="Frame4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grant PSUs that generally vest over one to three years upon the satisfaction of performance conditions. There were no unvested PSUs outstanding as of December 31, 2025. During the six months ended June 30, 2026, we granted 0.3 million PSUs with a weighted-average grant date fair value of $82.07 per unit. The number of PSUs granted represents the aggregate maximum number of shares that may be earned and issued with respect to these awards over their full terms. During the six months ended June 30, 2026, no shares underlying PSUs vested.</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Acquisition of TradePMR</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connection with the acquisition of TradePMR, we issued approximately 2 million unvested shares of Class A common stock, valued at approximately $100 million as of the closing date of the acquisition, that will vest over a four-year period post-acquisition, subject to the terms of a vesting agreement. These shares are not part of the equity incentive plans described above. Shares of unvested restricted stock have the same voting rights as all other Class A common stock and are considered to be issued and outstanding. The following table summarizes the activity for the six months ended June 30, 2026: </w:t>
      </w:r>
    </w:p>
    <w:tbl>
      <w:tblPr>
        <w:tblW w:w="9564" w:type="dxa"/>
        <w:jc w:val="left"/>
        <w:tblInd w:w="0" w:type="dxa"/>
        <w:tblLayout w:type="fixed"/>
        <w:tblCellMar>
          <w:top w:w="28" w:type="dxa"/>
          <w:left w:w="28" w:type="dxa"/>
          <w:bottom w:w="28" w:type="dxa"/>
          <w:right w:w="28" w:type="dxa"/>
        </w:tblCellMar>
      </w:tblPr>
      <w:tblGrid>
        <w:gridCol w:w="1654"/>
        <w:gridCol w:w="1457"/>
        <w:gridCol w:w="1463"/>
        <w:gridCol w:w="474"/>
        <w:gridCol w:w="474"/>
        <w:gridCol w:w="476"/>
        <w:gridCol w:w="109"/>
        <w:gridCol w:w="109"/>
        <w:gridCol w:w="109"/>
        <w:gridCol w:w="676"/>
        <w:gridCol w:w="2070"/>
        <w:gridCol w:w="493"/>
      </w:tblGrid>
      <w:tr>
        <w:trPr/>
        <w:tc>
          <w:tcPr>
            <w:tcW w:w="165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for weighted average grant date fair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December 31, 2025</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48.85 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Issued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48.85 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June 30, 2026</w:t>
            </w:r>
          </w:p>
        </w:tc>
        <w:tc>
          <w:tcPr>
            <w:tcW w:w="9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48.85 </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Share-Based Compensation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SBC on our unaudited condensed consolidated statements of operations for the periods indicated:</w:t>
      </w:r>
    </w:p>
    <w:tbl>
      <w:tblPr>
        <w:tblW w:w="6855" w:type="dxa"/>
        <w:jc w:val="left"/>
        <w:tblInd w:w="0" w:type="dxa"/>
        <w:tblLayout w:type="fixed"/>
        <w:tblCellMar>
          <w:top w:w="28" w:type="dxa"/>
          <w:left w:w="28" w:type="dxa"/>
          <w:bottom w:w="28" w:type="dxa"/>
          <w:right w:w="28" w:type="dxa"/>
        </w:tblCellMar>
      </w:tblPr>
      <w:tblGrid>
        <w:gridCol w:w="988"/>
        <w:gridCol w:w="866"/>
        <w:gridCol w:w="876"/>
        <w:gridCol w:w="211"/>
        <w:gridCol w:w="376"/>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Brokerage and transaction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Technology and development </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Operations </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capitalized SBC expense related to internally developed software of $6 million and $10 million during the three and six months ended June 30, 2026 compared to $5 million and $11 million for the three and six months ended June 30, 2025.</w:t>
      </w:r>
    </w:p>
    <w:p>
      <w:pPr>
        <w:pStyle w:val="TextBody"/>
        <w:bidi w:val="0"/>
        <w:spacing w:lineRule="auto" w:line="288" w:before="20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there was $520 million of unrecognized SBC expense that is expected to be recognized over a weighted-average period of 1.13 years.</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48310"/>
                <wp:effectExtent l="0" t="0" r="0" b="0"/>
                <wp:wrapNone/>
                <wp:docPr id="43" name="Frame4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13: NET INCOME (LOSS) PER SHARE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present net income (loss) per share using the two-class method. Class A and Class B common stock have identical liquidation and dividend rights, differing only in voting rights; accordingly, undistributed earnings are allocated proportionately and EPS is the same for both classes on an individual and combined basis. We compute the dilutive effect of shares issuable upon conversion of our Convertible Notes using the if-converted method and the dilutive effect of equity awards under our employee equity incentive plans using the treasury stock method. The following table presents the calculation of basic and diluted EPS:</w:t>
      </w:r>
    </w:p>
    <w:tbl>
      <w:tblPr>
        <w:tblW w:w="10205" w:type="dxa"/>
        <w:jc w:val="left"/>
        <w:tblInd w:w="0" w:type="dxa"/>
        <w:tblLayout w:type="fixed"/>
        <w:tblCellMar>
          <w:top w:w="28" w:type="dxa"/>
          <w:left w:w="28" w:type="dxa"/>
          <w:bottom w:w="28" w:type="dxa"/>
          <w:right w:w="28" w:type="dxa"/>
        </w:tblCellMar>
      </w:tblPr>
      <w:tblGrid>
        <w:gridCol w:w="1387"/>
        <w:gridCol w:w="731"/>
        <w:gridCol w:w="735"/>
        <w:gridCol w:w="196"/>
        <w:gridCol w:w="466"/>
        <w:gridCol w:w="109"/>
        <w:gridCol w:w="196"/>
        <w:gridCol w:w="466"/>
        <w:gridCol w:w="109"/>
        <w:gridCol w:w="109"/>
        <w:gridCol w:w="109"/>
        <w:gridCol w:w="109"/>
        <w:gridCol w:w="196"/>
        <w:gridCol w:w="466"/>
        <w:gridCol w:w="109"/>
        <w:gridCol w:w="196"/>
        <w:gridCol w:w="466"/>
        <w:gridCol w:w="109"/>
        <w:gridCol w:w="109"/>
        <w:gridCol w:w="109"/>
        <w:gridCol w:w="109"/>
        <w:gridCol w:w="196"/>
        <w:gridCol w:w="466"/>
        <w:gridCol w:w="109"/>
        <w:gridCol w:w="196"/>
        <w:gridCol w:w="466"/>
        <w:gridCol w:w="109"/>
        <w:gridCol w:w="109"/>
        <w:gridCol w:w="109"/>
        <w:gridCol w:w="109"/>
        <w:gridCol w:w="196"/>
        <w:gridCol w:w="466"/>
        <w:gridCol w:w="109"/>
        <w:gridCol w:w="196"/>
        <w:gridCol w:w="466"/>
        <w:gridCol w:w="312"/>
      </w:tblGrid>
      <w:tr>
        <w:trPr/>
        <w:tc>
          <w:tcPr>
            <w:tcW w:w="138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853" w:type="dxa"/>
            <w:gridSpan w:val="3"/>
            <w:vMerge w:val="restart"/>
            <w:tcBorders/>
            <w:tcMar>
              <w:top w:w="0" w:type="dxa"/>
              <w:left w:w="0" w:type="dxa"/>
              <w:bottom w:w="0" w:type="dxa"/>
              <w:right w:w="0" w:type="dxa"/>
            </w:tcMar>
            <w:vAlign w:val="center"/>
          </w:tcPr>
          <w:p>
            <w:pPr>
              <w:pStyle w:val="TableContents"/>
              <w:bidi w:val="0"/>
              <w:spacing w:lineRule="auto" w:line="288" w:before="0" w:after="200"/>
              <w:jc w:val="left"/>
              <w:rPr>
                <w:rFonts w:ascii="Helvetica;sans-serif" w:hAnsi="Helvetica;sans-serif"/>
                <w:b w:val="false"/>
                <w:i/>
                <w:color w:val="000000"/>
                <w:sz w:val="16"/>
              </w:rPr>
            </w:pPr>
            <w:r>
              <w:rPr>
                <w:rFonts w:ascii="Helvetica;sans-serif" w:hAnsi="Helvetica;sans-serif"/>
                <w:b w:val="false"/>
                <w:i/>
                <w:color w:val="000000"/>
                <w:sz w:val="16"/>
              </w:rPr>
              <w:t>(in millions, except for per share data)</w:t>
            </w:r>
          </w:p>
        </w:tc>
        <w:tc>
          <w:tcPr>
            <w:tcW w:w="341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2853" w:type="dxa"/>
            <w:gridSpan w:val="3"/>
            <w:vMerge w:val="continue"/>
            <w:tcBorders/>
            <w:tcMar>
              <w:top w:w="0" w:type="dxa"/>
              <w:left w:w="0" w:type="dxa"/>
              <w:bottom w:w="0" w:type="dxa"/>
              <w:right w:w="0" w:type="dxa"/>
            </w:tcMar>
            <w:vAlign w:val="center"/>
          </w:tcPr>
          <w:p>
            <w:pPr>
              <w:pStyle w:val="Normal"/>
              <w:bidi w:val="0"/>
              <w:jc w:val="left"/>
              <w:rPr/>
            </w:pPr>
            <w:r>
              <w:rPr/>
            </w:r>
          </w:p>
        </w:tc>
        <w:tc>
          <w:tcPr>
            <w:tcW w:w="15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w:t>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 EPS: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Numerator</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Less: Net income attributable to non-controlling interests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 attributable to Robinhood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Denominator</w:t>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Weighted-average common shares outstanding - basic</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16"/>
              </w:rPr>
            </w:pPr>
            <w:r>
              <w:rPr>
                <w:rFonts w:ascii="Helvetica;sans-serif" w:hAnsi="Helvetica;sans-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 EPS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 EPS: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Numerator</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16"/>
              </w:rPr>
            </w:pPr>
            <w:r>
              <w:rPr>
                <w:rFonts w:ascii="Helvetica;sans-serif" w:hAnsi="Helvetica;sans-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16"/>
              </w:rPr>
            </w:pPr>
            <w:r>
              <w:rPr>
                <w:rFonts w:ascii="Helvetica;sans-serif" w:hAnsi="Helvetica;sans-serif"/>
                <w:b w:val="false"/>
                <w:color w:val="000000"/>
                <w:sz w:val="16"/>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Helvetica;sans-serif" w:hAnsi="Helvetica;sans-serif"/>
                <w:b w:val="false"/>
                <w:color w:val="000000"/>
                <w:sz w:val="16"/>
              </w:rPr>
            </w:pPr>
            <w:r>
              <w:rPr>
                <w:rFonts w:ascii="Helvetica;sans-serif" w:hAnsi="Helvetica;sans-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Less: Net income attributable to non-controlling interests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 attributable to Robinhood common stockholders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Reallocation of net income as a result of conversion of Class B to Class A common stock</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Reallocation of net income (loss) to Class B common stock</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 attributable to Robinhood common stockholders for diluted EPS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Denominator</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Weighted-average common shares outstanding - basic</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Dilutive effect of stock options and unvested shares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Conversion of Class B to Class A common stock</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Weighted-average common shares outstanding - diluted</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 EPS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48310"/>
                <wp:effectExtent l="0" t="0" r="0" b="0"/>
                <wp:wrapNone/>
                <wp:docPr id="44" name="Frame4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potential common shares were excluded from the calculation of diluted EPS because their effect would have been anti-dilutive or issuance of such shares is contingent upon the satisfaction of certain conditions that were not satisfied by the end of the period:</w:t>
      </w:r>
    </w:p>
    <w:tbl>
      <w:tblPr>
        <w:tblW w:w="6505" w:type="dxa"/>
        <w:jc w:val="left"/>
        <w:tblInd w:w="0" w:type="dxa"/>
        <w:tblLayout w:type="fixed"/>
        <w:tblCellMar>
          <w:top w:w="28" w:type="dxa"/>
          <w:left w:w="28" w:type="dxa"/>
          <w:bottom w:w="28" w:type="dxa"/>
          <w:right w:w="28" w:type="dxa"/>
        </w:tblCellMar>
      </w:tblPr>
      <w:tblGrid>
        <w:gridCol w:w="907"/>
        <w:gridCol w:w="792"/>
        <w:gridCol w:w="805"/>
        <w:gridCol w:w="221"/>
        <w:gridCol w:w="195"/>
        <w:gridCol w:w="195"/>
        <w:gridCol w:w="195"/>
        <w:gridCol w:w="195"/>
        <w:gridCol w:w="195"/>
        <w:gridCol w:w="210"/>
        <w:gridCol w:w="196"/>
        <w:gridCol w:w="195"/>
        <w:gridCol w:w="109"/>
        <w:gridCol w:w="109"/>
        <w:gridCol w:w="109"/>
        <w:gridCol w:w="203"/>
        <w:gridCol w:w="203"/>
        <w:gridCol w:w="156"/>
        <w:gridCol w:w="136"/>
        <w:gridCol w:w="136"/>
        <w:gridCol w:w="136"/>
        <w:gridCol w:w="203"/>
        <w:gridCol w:w="203"/>
        <w:gridCol w:w="501"/>
      </w:tblGrid>
      <w:tr>
        <w:trPr/>
        <w:tc>
          <w:tcPr>
            <w:tcW w:w="90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504" w:type="dxa"/>
            <w:gridSpan w:val="3"/>
            <w:vMerge w:val="restart"/>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r>
              <w:rPr>
                <w:rFonts w:ascii="Helvetica;sans-serif" w:hAnsi="Helvetica;sans-serif"/>
                <w:b w:val="false"/>
                <w:i/>
                <w:color w:val="000000"/>
                <w:sz w:val="16"/>
              </w:rPr>
              <w:t>(in millions)</w:t>
            </w:r>
          </w:p>
        </w:tc>
        <w:tc>
          <w:tcPr>
            <w:tcW w:w="1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504" w:type="dxa"/>
            <w:gridSpan w:val="3"/>
            <w:vMerge w:val="continue"/>
            <w:tcBorders/>
            <w:tcMar>
              <w:top w:w="0" w:type="dxa"/>
              <w:left w:w="0" w:type="dxa"/>
              <w:bottom w:w="0" w:type="dxa"/>
              <w:right w:w="0" w:type="dxa"/>
            </w:tcMar>
            <w:vAlign w:val="center"/>
          </w:tcPr>
          <w:p>
            <w:pPr>
              <w:pStyle w:val="Normal"/>
              <w:bidi w:val="0"/>
              <w:jc w:val="left"/>
              <w:rPr/>
            </w:pPr>
            <w:r>
              <w:rPr/>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Convertible Notes</w:t>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Incentive Plans</w:t>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anti-dilutive securities</w:t>
            </w:r>
          </w:p>
        </w:tc>
        <w:tc>
          <w:tcPr>
            <w:tcW w:w="4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Capped Calls were also excluded from the calculation of diluted net income per share as the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48310"/>
                <wp:effectExtent l="0" t="0" r="0" b="0"/>
                <wp:wrapNone/>
                <wp:docPr id="45" name="Frame4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14: LEASES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operating leases are substantially comprised of office facilities, and we do not have any finance leases. Lease assets and liabilities recognized on our unaudited condensed consolidated balance sheets were as follows:</w:t>
      </w:r>
    </w:p>
    <w:tbl>
      <w:tblPr>
        <w:tblW w:w="8414" w:type="dxa"/>
        <w:jc w:val="left"/>
        <w:tblInd w:w="0" w:type="dxa"/>
        <w:tblLayout w:type="fixed"/>
        <w:tblCellMar>
          <w:top w:w="28" w:type="dxa"/>
          <w:left w:w="28" w:type="dxa"/>
          <w:bottom w:w="28" w:type="dxa"/>
          <w:right w:w="28" w:type="dxa"/>
        </w:tblCellMar>
      </w:tblPr>
      <w:tblGrid>
        <w:gridCol w:w="1201"/>
        <w:gridCol w:w="1050"/>
        <w:gridCol w:w="1064"/>
        <w:gridCol w:w="809"/>
        <w:gridCol w:w="809"/>
        <w:gridCol w:w="811"/>
        <w:gridCol w:w="109"/>
        <w:gridCol w:w="109"/>
        <w:gridCol w:w="109"/>
        <w:gridCol w:w="308"/>
        <w:gridCol w:w="703"/>
        <w:gridCol w:w="159"/>
        <w:gridCol w:w="109"/>
        <w:gridCol w:w="109"/>
        <w:gridCol w:w="109"/>
        <w:gridCol w:w="211"/>
        <w:gridCol w:w="481"/>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right-of-use assets:</w:t>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assets</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liabilities:</w:t>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operating lease liabilities</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operating lease liabilities</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lease liabilities</w:t>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270"/>
        <w:jc w:val="left"/>
        <w:rPr>
          <w:rFonts w:ascii="Helvetica;sans-serif" w:hAnsi="Helvetica;sans-serif"/>
          <w:b w:val="false"/>
          <w:color w:val="000000"/>
          <w:sz w:val="20"/>
        </w:rPr>
      </w:pPr>
      <w:r>
        <w:rPr>
          <w:rFonts w:ascii="Helvetica;sans-serif" w:hAnsi="Helvetica;sans-serif"/>
          <w:b w:val="false"/>
          <w:color w:val="000000"/>
          <w:sz w:val="20"/>
        </w:rPr>
        <w:t>Cash flows related to leases were as follows:</w:t>
      </w:r>
    </w:p>
    <w:tbl>
      <w:tblPr>
        <w:tblW w:w="7146" w:type="dxa"/>
        <w:jc w:val="left"/>
        <w:tblInd w:w="0" w:type="dxa"/>
        <w:tblLayout w:type="fixed"/>
        <w:tblCellMar>
          <w:top w:w="28" w:type="dxa"/>
          <w:left w:w="28" w:type="dxa"/>
          <w:bottom w:w="28" w:type="dxa"/>
          <w:right w:w="28" w:type="dxa"/>
        </w:tblCellMar>
      </w:tblPr>
      <w:tblGrid>
        <w:gridCol w:w="1831"/>
        <w:gridCol w:w="1600"/>
        <w:gridCol w:w="1624"/>
        <w:gridCol w:w="109"/>
        <w:gridCol w:w="109"/>
        <w:gridCol w:w="109"/>
        <w:gridCol w:w="211"/>
        <w:gridCol w:w="376"/>
        <w:gridCol w:w="109"/>
        <w:gridCol w:w="109"/>
        <w:gridCol w:w="109"/>
        <w:gridCol w:w="109"/>
        <w:gridCol w:w="211"/>
        <w:gridCol w:w="376"/>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Supplemental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liabilities arising from obtaining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15: COMMITMENTS &amp; CONTINGENCIES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$71 million as of December 31, 2025 and $89 million as of June 30, 2026. In our opinion, an adequate accrual had been made as of each such date to provide for the probable losses of which we are aware and for which we can reasonably estimate an amount.</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Legal and Regulatory Matters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securities industry, and many other industries in which we operate, are highly regulated and many aspects of our business involve substantial risk of liability. In past years, there has been an increase in litigation and regulatory investigations involving the brokerage, cryptocurrency, derivatives, advisory and credit card industries. Litigation has included and may in the future include class action suits that generally seek substantial and, in some cases, punitive damages. Federal and state regulators, exchanges, other SROs, or international regulators investigate issues related to regulatory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48310"/>
                <wp:effectExtent l="0" t="0" r="0" b="0"/>
                <wp:wrapNone/>
                <wp:docPr id="46" name="Frame4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that may result in enforcement action. We are also subject to periodic regulatory audits and inspections that have in the past and could in the future lead to enforcement investigations or actions.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respect to matters discussed below, we believe, based on current knowledge, that any losses (in excess of amounts accrued, if applicable) as of June 30, 2026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reasonably possible loss (or range of loss), if any. In addition, the ultimate outcome of legal proceedings involves judgments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Described below are certain pending matters in which there is at least a reasonable possibility that a material loss could be incurred. We intend to continue to defend these matters vigorously.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Best Execution, Payment for Order Flow, and Sources of Revenue Civil Litigation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Beginning in December 2020, multiple putative securities fraud class action lawsuits were filed against RHM, RHF, and RHS. Five cases were consolidated in the U.S.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unspecified monetary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 In October 2022, the court granted Robinhood’s motion in part and denied it in part. In November 2022, Robinhood filed a motion for judgment on the pleadings, which the court denied in January 2023. In March 2024, Plaintiffs filed a motion for class certification, which Robinhood opposed. In October 2024, the court denied class certification without prejudice. Plaintiffs filed a renewed motion for class certification in January 2025, which Robinhood is opposing. In June 2025, Robinhood agreed to a settlement in principle with plaintiffs. The settlement was approved by the court in June 2026. </w:t>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State Regulatory Matters</w:t>
      </w:r>
    </w:p>
    <w:p>
      <w:pPr>
        <w:pStyle w:val="TextBody"/>
        <w:bidi w:val="0"/>
        <w:spacing w:before="0" w:after="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New York Attorney General is conducting an investigation into brokerage execution quality and collaring the prices of certain trade orders. The MSD is examining, among other things, RHF’s customer complaint supervision, the disruptions experienced by BOATS during the Robinhood 24 Hour Market overnight trading session on August 4-5, 2024, and the offerings of presidential election and sports event contracts. We are cooperating with these investigations. </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 xml:space="preserve">Brokerage Enforcement Matters </w:t>
      </w:r>
    </w:p>
    <w:p>
      <w:pPr>
        <w:pStyle w:val="TextBody"/>
        <w:bidi w:val="0"/>
        <w:spacing w:lineRule="auto" w:line="276" w:before="0" w:after="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FINRA Enforcement and Examination staff are conducting investigations related to, among other things, the disruptions experienced by BOATS during the Robinhood 24 Hour Market overnight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48310"/>
                <wp:effectExtent l="0" t="0" r="0" b="0"/>
                <wp:wrapNone/>
                <wp:docPr id="47" name="Frame4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76" w:before="0" w:after="0"/>
        <w:jc w:val="left"/>
        <w:rPr>
          <w:rFonts w:ascii="Helvetica;sans-serif" w:hAnsi="Helvetica;sans-serif"/>
          <w:b w:val="false"/>
          <w:color w:val="000000"/>
          <w:sz w:val="20"/>
        </w:rPr>
      </w:pPr>
      <w:r>
        <w:rPr>
          <w:rFonts w:ascii="Helvetica;sans-serif" w:hAnsi="Helvetica;sans-serif"/>
          <w:b w:val="false"/>
          <w:color w:val="000000"/>
          <w:sz w:val="20"/>
        </w:rPr>
        <w:t xml:space="preserve">session on August 4-5, 2024. The FDIC is investigating issues related to compliance with the EFTA. We are cooperating with these investigations. </w:t>
      </w:r>
    </w:p>
    <w:p>
      <w:pPr>
        <w:pStyle w:val="TextBody"/>
        <w:bidi w:val="0"/>
        <w:spacing w:before="0" w:after="0"/>
        <w:jc w:val="left"/>
        <w:rPr/>
      </w:pPr>
      <w:r>
        <w:rPr/>
      </w:r>
    </w:p>
    <w:p>
      <w:pPr>
        <w:pStyle w:val="TextBody"/>
        <w:bidi w:val="0"/>
        <w:spacing w:lineRule="auto" w:line="288" w:before="0" w:after="20"/>
        <w:jc w:val="both"/>
        <w:rPr>
          <w:rFonts w:ascii="Helvetica;sans-serif" w:hAnsi="Helvetica;sans-serif"/>
          <w:b w:val="false"/>
          <w:i/>
          <w:color w:val="000000"/>
          <w:sz w:val="20"/>
        </w:rPr>
      </w:pPr>
      <w:r>
        <w:rPr>
          <w:rFonts w:ascii="Helvetica;sans-serif" w:hAnsi="Helvetica;sans-serif"/>
          <w:b w:val="false"/>
          <w:i/>
          <w:color w:val="000000"/>
          <w:sz w:val="20"/>
        </w:rPr>
        <w:t>Early 2021 Trading Restrictions Matters</w:t>
      </w:r>
    </w:p>
    <w:p>
      <w:pPr>
        <w:pStyle w:val="TextBody"/>
        <w:bidi w:val="0"/>
        <w:spacing w:before="0" w:after="2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U.S. trading platform (the “Early 2021 Trading Restrictions”).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number of individual actions related to the Early 2021 Trading Restrictions were filed against RHM, RHF, and RHS and remain pending in arbitrations. The actions assert violations of securities laws and common law causes of action and seek monetary damages, costs and expenses, and other relief. </w:t>
      </w:r>
    </w:p>
    <w:p>
      <w:pPr>
        <w:pStyle w:val="TextBody"/>
        <w:bidi w:val="0"/>
        <w:spacing w:lineRule="auto" w:line="288" w:before="0" w:after="200"/>
        <w:ind w:left="0" w:right="0" w:firstLine="360"/>
        <w:jc w:val="both"/>
        <w:rPr/>
      </w:pPr>
      <w:r>
        <w:rPr>
          <w:rFonts w:ascii="Helvetica;sans-serif" w:hAnsi="Helvetica;sans-serif"/>
          <w:b w:val="false"/>
          <w:color w:val="000000"/>
          <w:sz w:val="20"/>
        </w:rPr>
        <w:t>RHM, RHF, RHS, and our CEO, Vladimir Tenev, among others, have received requests for information, and in some cases, subpoenas and requests for testimony, related to investigations and examinations of the Early 2021 Trading Restrictions from the USAO, the DOJ, Antitrust Division, the New York Attorney General’s Office, other state attorneys general offices, and a number of state securities regulators. Also, a related search warrant was executed by the USAO to obtain Mr. Tenev’s cell phone. There have been several inquiries based on specific customer complaints. As previously disclosed, on March 6, 2025, we resolved FINRA’s investigation into these matters as part of the March 2025 FINRA Settlement (as defined below). We have not otherwise received requests related to the Early 2021 Trading Restrictions in over two years.</w:t>
        <w:br/>
        <w:br/>
      </w:r>
      <w:r>
        <w:rPr>
          <w:rFonts w:ascii="Helvetica;sans-serif" w:hAnsi="Helvetica;sans-serif"/>
          <w:b w:val="false"/>
          <w:i/>
          <w:color w:val="000000"/>
          <w:sz w:val="20"/>
        </w:rPr>
        <w:t>IPO Litigation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December 2021, Philip Golubowski filed a putative class action in the U.S. District Court for the Northern District of California against RHM, the officers and directors who signed Robinhood’s IPO offering documents, and Robinhood’s IPO underwriters. Plaintiff’s claims are based on alleged false or misleading statements in Robinhood’s IPO offering documents allegedly in violation of Sections 11 and 12(a) of the Securities Act. Plaintiff seeks unspecified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and in March 2022, the court appointed lead plaintiffs. In June 2022, plaintiffs filed an amended complaint. In August 2022, Robinhood filed a motion to dismiss the complaint. In February 2023, the court granted Robinhood’s motion without prejudice. In March 2023, plaintiffs filed a second amended complaint. In January 2024, the court granted Robinhood’s motion to dismiss the second amended complaint without leave to amend. In February 2024, plaintiffs filed a notice of appeal to the Ninth Circuit. On August 29, 2025, the Ninth Circuit issued its opinion affirming in part and reversing in part the district court. Robinhood’s petition for rehearing en banc was denied. In February 2026, Robinhood filed for a writ of certiorari in the United States Supreme Court, which remains pending.</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Robinhood’s IPO offering documents, and plaintiff seeks an award of unspecified damages and restitution to the Company, injunctive relief, and an award for attorney’s fees and costs. In March 2022, the district court entered a stay of this litigation pending resolution of Robinhood’s motion to dismiss in the Golubowski securities action discussed above.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August 2022, a shareholder sent a letter to the RHM board of directors demanding, among other things, that the board of directors pursue causes of action on behalf of the Company related to allegations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48310"/>
                <wp:effectExtent l="0" t="0" r="0" b="0"/>
                <wp:wrapNone/>
                <wp:docPr id="48" name="Frame4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of misconduct in connection with the Early 2021 Trading Restrictions, Robinhood’s IPO offering documents, and the November 2021 Data Security Incident. The board of directors has formed a Demand Review Committee. The board of directors has rejected the demand in part and the Demand Review Committee continues to review the remaining part.</w:t>
      </w:r>
    </w:p>
    <w:p>
      <w:pPr>
        <w:pStyle w:val="TextBody"/>
        <w:bidi w:val="0"/>
        <w:spacing w:lineRule="auto" w:line="288" w:before="0" w:after="0"/>
        <w:jc w:val="left"/>
        <w:rPr>
          <w:rFonts w:ascii="Helvetica;sans-serif" w:hAnsi="Helvetica;sans-serif"/>
          <w:b w:val="false"/>
          <w:i/>
          <w:color w:val="000000"/>
          <w:sz w:val="20"/>
        </w:rPr>
      </w:pPr>
      <w:r>
        <w:rPr>
          <w:rFonts w:ascii="Helvetica;sans-serif" w:hAnsi="Helvetica;sans-serif"/>
          <w:b w:val="false"/>
          <w:i/>
          <w:color w:val="000000"/>
          <w:sz w:val="20"/>
        </w:rPr>
        <w:t>Pay Transparency Litigation</w:t>
      </w:r>
    </w:p>
    <w:p>
      <w:pPr>
        <w:pStyle w:val="TextBody"/>
        <w:bidi w:val="0"/>
        <w:spacing w:before="0" w:after="0"/>
        <w:jc w:val="left"/>
        <w:rPr/>
      </w:pPr>
      <w:r>
        <w:rPr/>
      </w:r>
    </w:p>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In July 2024, RHM, RHY, and RHC were sued in a putative class action captioned </w:t>
      </w:r>
      <w:r>
        <w:rPr>
          <w:rFonts w:ascii="Helvetica;sans-serif" w:hAnsi="Helvetica;sans-serif"/>
          <w:b w:val="false"/>
          <w:i/>
          <w:color w:val="000000"/>
          <w:sz w:val="20"/>
        </w:rPr>
        <w:t>John Milito v. Robinhood Markets, Inc. et. al.</w:t>
      </w:r>
      <w:r>
        <w:rPr>
          <w:rFonts w:ascii="Helvetica;sans-serif" w:hAnsi="Helvetica;sans-serif"/>
          <w:b w:val="false"/>
          <w:color w:val="000000"/>
          <w:sz w:val="20"/>
        </w:rPr>
        <w:t xml:space="preserve">, alleging that Robinhood violated Washington’s Equal Pay and Opportunity Act, because some of the Company’s job postings allegedly failed to include a wage scale or salary range. The complaint seeks unspecified total statutory damages, attorneys’ fees and costs, injunctive relief, and declaratory relief. The case was stayed in the Superior Court in King County in Washington pending a certified question to the Washington Supreme Court. In September 2025, the Washington Supreme Court issued an opinion addressing the certified question and held that a job applicant for a job posting that failed to include a wage scale or salary range does not need to prove they are a “bona fide” or “good faith” applicant to obtain remedies under the applicable statute. The stay has been lifted and the case is proceeding in discovery. </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Cash Sweep Litigation</w:t>
      </w:r>
    </w:p>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In October 2024, RHM, RHF, and RHS were sued in a putative class action captioned </w:t>
      </w:r>
      <w:r>
        <w:rPr>
          <w:rFonts w:ascii="Helvetica;sans-serif" w:hAnsi="Helvetica;sans-serif"/>
          <w:b w:val="false"/>
          <w:i/>
          <w:color w:val="000000"/>
          <w:sz w:val="20"/>
        </w:rPr>
        <w:t>Dey v. Robinhood Markets, Inc. et. al.,</w:t>
      </w:r>
      <w:r>
        <w:rPr>
          <w:color w:val="000000"/>
        </w:rPr>
        <w:t xml:space="preserve"> </w:t>
      </w:r>
      <w:r>
        <w:rPr>
          <w:rFonts w:ascii="Helvetica;sans-serif" w:hAnsi="Helvetica;sans-serif"/>
          <w:b w:val="false"/>
          <w:color w:val="000000"/>
          <w:sz w:val="20"/>
        </w:rPr>
        <w:t xml:space="preserve">in the U.S. District Court for the Northern District of California. Plaintiff asserts breach of fiduciary duty, gross negligence, negligent misrepresentation and omissions, breach of implied covenant of good faith and dealing, and violation of California’s unfair competition law based on allegations that defendants failed to pay a reasonable rate of interest to non-Robinhood Gold brokerage account holders on cash balances swept to program bank deposit programs. The complaint seeks, among other things, certification of the class, unspecified monetary, punitive, treble, and statutory damages, restitution, disgorgement, attorneys’ fees and costs, injunctive relief, and declaratory relief. In January 2025, Robinhood filed a motion to dismiss. On April 28, 2025, the court granted in part and denied in part Robinhood’s motion to dismiss. In May 2025, RHM, RHF, and RHS were sued in a putative class action captioned </w:t>
      </w:r>
      <w:r>
        <w:rPr>
          <w:rFonts w:ascii="Helvetica;sans-serif" w:hAnsi="Helvetica;sans-serif"/>
          <w:b w:val="false"/>
          <w:i/>
          <w:color w:val="000000"/>
          <w:sz w:val="20"/>
        </w:rPr>
        <w:t xml:space="preserve">Deeney v. Robinhood Markets, Inc. et al., </w:t>
      </w:r>
      <w:r>
        <w:rPr>
          <w:rFonts w:ascii="Helvetica;sans-serif" w:hAnsi="Helvetica;sans-serif"/>
          <w:b w:val="false"/>
          <w:color w:val="000000"/>
          <w:sz w:val="20"/>
        </w:rPr>
        <w:t xml:space="preserve">in the U.S. District Court for the Northern District of California, which also made allegations related to Robinhood’s cash sweep program. The complaint sought, among other things, certification of the class, unspecified monetary damages, attorneys’ fees and costs, and restitution. The parties in </w:t>
      </w:r>
      <w:r>
        <w:rPr>
          <w:rFonts w:ascii="Helvetica;sans-serif" w:hAnsi="Helvetica;sans-serif"/>
          <w:b w:val="false"/>
          <w:i/>
          <w:color w:val="000000"/>
          <w:sz w:val="20"/>
        </w:rPr>
        <w:t>Dey</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i/>
          <w:color w:val="000000"/>
          <w:sz w:val="20"/>
        </w:rPr>
        <w:t>Deeney</w:t>
      </w:r>
      <w:r>
        <w:rPr>
          <w:color w:val="000000"/>
        </w:rPr>
        <w:t xml:space="preserve"> </w:t>
      </w:r>
      <w:r>
        <w:rPr>
          <w:rFonts w:ascii="Helvetica;sans-serif" w:hAnsi="Helvetica;sans-serif"/>
          <w:b w:val="false"/>
          <w:color w:val="000000"/>
          <w:sz w:val="20"/>
        </w:rPr>
        <w:t xml:space="preserve">have agreed to consolidate the matters and Plaintiffs have filed an amended consolidated complaint. The complaint seeks, among other things, certification of the class, unspecified monetary, punitive, treble, and statutory damages, restitution, disgorgement, attorneys’ fees and costs, injunctive relief, and declaratory relief. Robinhood moved to dismiss the complaint, which was granted in part and denied in part. Robinhood has reached a settlement in principle. </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Event Contracts Litigation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June 2025, RHM and RHD were sued along with several co-defendants, in state court in six states (Georgia, Illinois, Kentucky, Massachusetts, Ohio and South Carolina) by Georgia Gambling Recovery LLC, Illinois Gambling Recovery LLC, Kentucky Gambling Recovery LLC, Massachusetts Gambling Recovery LLC, Ohio Gambling Recovery LLC, and South Carolina Gambling Recovery LLC respectively. Each plaintiff asserts a claim under the respective state’s Statute of Anne, which are statutes that permit recovery of gambling losses under certain conditions, which vary by state. Each plaintiff seeks damages for losses allegedly sustained in trading certain event contracts, including damage multipliers in certain states, attorney’s fees and costs, and declaratory relief. Robinhood removed all six cases to federal court. Each plaintiff sought to remand the matters. The court in Georgia denied plaintiff’s motion to remand and RHD moved to dismiss the action. The courts in Illinois, Kentucky, and Ohio granted plaintiff’s motion to remand. Plaintiffs voluntarily dismissed RHD in Georgia, Massachusetts, Ohio, and South Carolina and have moved to voluntarily dismiss RHD in Illinois. In May 2026, the court in Kentucky ordered a six-month stay.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48310"/>
                <wp:effectExtent l="0" t="0" r="0" b="0"/>
                <wp:wrapNone/>
                <wp:docPr id="49" name="Frame4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July 2025, RHM and RHD, among others, were sued by the Blue Lake Rancheria, Chicken Ranch Rancheria of Me-Wuk Indians, and Picayune Rancheria of the Chukchansi Indians (the “Blue Lake plaintiffs”) in the U.S. District Court for the Northern District of California. The complaint alleges that certain event contracts offered by RHD are unlawful sports gambling activity. The Blue Lake plaintiffs allege several causes of action including violation of the Indian Gaming Regulatory Act, violation of tribal gaming Ordinances, civil violation of the Racketeer Influenced and Corrupt Organizations Act (RICO), infringement of tribal sovereignty, and false advertising under the Lanham Act. The Blue Lake plaintiffs have asserted only the RICO cause of action against RHM and RHD. The complaint seeks injunctive relief, declaratory relief, damages, treble damages, costs, and attorney’s fees. In September 2025, the Blue Lake plaintiffs moved for a preliminary injunction. The court denied the motion and plaintiffs have appealed the denial to the U.S. Court of Appeals for the Ninth Circuit, which remains pending. In the district court, Robinhood has moved to dismiss the action. The district court has stayed the matter pending the outcome of the plaintiffs’ appeal and another appeal related to event contracts in the Ninth Circuit.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August 2025, a similar suit was filed against RHM and RHD, among others, by the Ho-Chunk Nation in the U.S. District Court for the Western District of Wisconsin alleging substantially the same facts and causes of action and seeking substantially the same relief. The Ho-Chunk Nation only asserted a claim for a civil violation of RICO against RHM and RHD. In December 2025, the plaintiff moved for a preliminary injunction, which Robinhood opposed. Robinhood also moved to dismiss the action. In May 2026, the district court denied the motion for preliminary injunction and dismissed the RICO claim against Robinhood. The Ho-Chunk Nation has moved to amend the complaint but has not named Robinhood in the proposed amended complaint.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August 2025, RHD filed suits in the U.S. District Court for the District of Nevada and U.S. District Court for the District of New Jersey seeking injunctive relief from enforcement of Nevada and New Jersey state gaming laws respectively. In September 2025, RHD filed suit in the U.S. District Court for the District of Massachusetts seeking similar injunctive relief from enforcement of Massachusetts state gaming laws.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March 2026, RHD filed suits in the U.S. District Court for the Western District of Michigan and the U.S. District Court for the Western District of Washington seeking similar injunctive relief from enforcement of Michigan and Washington’s state gaming laws respectively.</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CFTC has filed lawsuits against state authorities in several states across the country, generally asserting that the CEA preempts the application of state gambling laws to the offering of federally regulated event contracts. In April 2026, the CFTC filed a complaint against the State of Connecticut and its gaming authorities, alleging that Connecticut laws which the State sought to enforce against certain DCMs preempted by federal law. In June 2026, RHD filed an unopposed motion to intervene as a plaintiff in the CFTC’s action in Connecticut, which remains pending.</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New Jersey agreed to a preliminary injunction pending the outcome of its appeal in the Third Circuit of the grant of a preliminary injunction in a similar case brought by KalshiEx LLC. In April 2026, the Third Circuit ruled in favor of KalshiEx LLC. The court extended the preliminary injunction and the parties are to submit a joint letter after New Jersey petitions for a writ of certiorari from the United States Supreme Court or the deadline for petition for a writ lapses.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Nevada, the court denied RHD’s motion for a preliminary injunction. Robinhood has agreed to cease offering new sports-related event contracts in Nevada as of December 1, 2025, and to take action to explore unwinding longer-duration open sports-related event contracts in Nevada, in exchange for the State’s agreement to refrain from enforcing its state gaming laws during the pendency of RHD’s appeal. RHD appealed the decision to the U.S. Court of Appeals for the Ninth Circuit and moved for an injunction pending appeal, both of which remain pending. Oral argument on the appeal was heard on April 16, 2026.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Massachusetts, the court initially dismissed RHD’s suit as unripe. RHD’s motion for reconsideration was granted. RHD filed an amended complaint and renewed its motion for a preliminary injunction.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48310"/>
                <wp:effectExtent l="0" t="0" r="0" b="0"/>
                <wp:wrapNone/>
                <wp:docPr id="50" name="Frame4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Massachusetts agreed to refrain from enforcing its state gaming laws pending: (1) a decision on RHD’s then-pending preliminary injunction motion; (2) a final decision on the injunction from a Massachusetts appellate court in KalshiEx’s state court enforcement litigation; and (3) any stay is lifted in KalshiEx’s state court enforcement litigation. The district court dismissed RHD’s amended complaint as unripe. RHD has appealed to the U.S. Court of Appeals for the First Circuit.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Michigan, RHD’s motion for preliminary injunction was denied in June 2026 and RHD has appealed to the U.S. Court of Appeals for the Sixth Circuit.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Washington, the State agreed to non-enforcement of certain state laws against RHD for event contracts trading while the Ninth Circuit decision in the Nevada action described above is either pending or the deadline to seek en banc review of the Ninth Circuit’s decision elapses or such review is denied.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April 22, 2026, RHD and several co-defendants were sued in a putative class action in state court in Massachusetts by a purported Robinhood customer seeking to recover losses incurred as a result of sports-related event contract trading under Massachusetts’s Statute of Anne and a theory of unjust enrichment. Plaintiff seeks declaratory relief, injunctive relief, unspecified damages, interest, and attorney’s fees and costs. RHD removed the case to federal court and has moved to compel it to arbitration.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April 22, 2026, RHM and RHD were sued in a putative class action in U.S. District Court for the Northern District of California. The plaintiffs, purported Robinhood customers, alleged that Robinhood’s sports-related event contracts violate California’s Unfair Competition Law, California’s Consumer Legal Remedies Act, New Jersey’s Statute of Anne, New Jersey’s Consumer Fraud Act, New York’s deceptive business practices and false advertising laws, New York’s Statute of Anne, and Michigan’s gambling loss recovery act, Michigan’s Consumer Protection Act, and further sought to recover damages under a theory of unjust enrichment. Plaintiffs seek declaratory relief, injunctive relief, unspecified damages including treble or punitive damages, restitution, disgorgement, attorney’s fees, interest and costs.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June 2026, three additional related putative class actions were filed against RHM and RHD in federal court in the Northern District of California alleging that Robinhood’s sports event contracts constitute illegal gambling and asserting claims under various state gambling loss recover acts, state consumer-protection acts, and a theory of unjust enrichment. These suits seek damages (including treble and punitive), compliance changes, restitution, disgorgement, attorney's fees and costs. These four matters have been consolidated and Robinhood has moved to compel the majority of the plaintiffs to arbitration.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April 23, 2026, the State of Wisconsin filed a lawsuit against RHD, RHM, RHS, Kalshi, Inc., KalshiEx, LLC, Kalshi Klear, LLC, Kalshi Trading, LLC, Coinbase Global, Inc., and Coinbase Financial Markets, Inc., in Wisconsin state court alleging that sports-related event contracts constitute illegal sports betting and are a public nuisance. Wisconsin seeks a declaratory judgment and a preliminary and permanent injunction preventing the defendants from offering sports-related event contracts in Wisconsin. The State of Wisconsin moved for a temporary injunction to enjoin Robinhood and its co-defendants from offering sports-related event contracts in Wisconsin. On April 24, 2026, the Kalshi defendants removed the case to the U.S. District Court for the Western District of Wisconsin with the consent of the Robinhood and Coinbase defendants. Wisconsin has moved to remand and moved for a preliminary injunction. On June 1, 2026 and July 8, 2026, RHS and RHM, respectively, were dismissed from the action.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June 17, 2026, the Commonwealth of Kentucky sued RHM, RHD, KalshiEx, LLC, Kalshi, Inc., Kalshi Klear, Inc., Kalshi Klear, LLC, Kalshi Trading, LLC, Webull Corporation, and Coinbase Financial Markets, Inc. in Kentucky state court asserting violations of Kentucky’s Consumer Protection Act, Kentucky’s Loss Recovery Act, and Kentucky’s gambling regulations. Kentucky seeks declaratory relief, injunctive relief, damages (including treble and punitive damages), statutory and civil penalties, restitution, and disgorgement. The Kalshi defendants removed the case to the U.S. District Court for the Eastern District of Kentucky with the Robinhood and Coinbase defendants. Kentucky has moved to remand.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48310"/>
                <wp:effectExtent l="0" t="0" r="0" b="0"/>
                <wp:wrapNone/>
                <wp:docPr id="51" name="Frame5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Google Tracking Privacy Litigation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May 8, 2026, a putative class action was filed in the U.S. District Court for the Northern District of California alleging that RHM violated various privacy laws and allowed sensitive personal financial information including account positions and account numbers to be transmitted to Google without customer consent. Plaintiff asserts violations of the Electronic Communications Privacy Act, California Invasion of Privacy Act, California Consumer Privacy Act, negligence, breach of implied contract, intrusion upon seclusion, and breach of confidence. Plaintiff is seeking declaratory relief, injunctive relief, statutory damages, disgorgement, attorney's fees and costs.</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Stubhub IPO Litigation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June 29, 2026, RHF was named, alongside Stubhub Holdings, Inc. (“Stubhub”), Stubhub officers and directors who signed Stubhub’s IPO documents, Stubhub’s IPO underwriters, and SoFi Securities LLC in a complaint filed in the U.S. District Court for the Southern District of New York alleging that Stubhub’s IPO documents contained materially misleading information about Stubhub’s near-term market opportunity, advertising business and financials. RHF was named as a “Selling Group Defendant.” Plaintiff is seeking unspecified compensatory damages, rescission, disgorgement, injunctive relief, and costs and expenses. RHF is only named in the Section 12(a)(2) claim, which alleges that RHF failed to exercise reasonable care to ensure that statements in the IPO offering documents were true and not materially misleading. </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48310"/>
                <wp:effectExtent l="0" t="0" r="0" b="0"/>
                <wp:wrapNone/>
                <wp:docPr id="52" name="Frame5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ITEM 2. MANAGEMENT’S DISCUSSION AND ANALYSIS OF FINANCIAL CONDITION AND RESULTS OF OPERATIONS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Quarterly Report, and should be read in conjunction with our interim unaudited condensed consolidated financial statements and notes elsewhere in this Quarterly Report and our audited consolidated financial statements and the related notes and the discussion under the heading “Management’s Discussion and Analysis of Financial Condition and Results of Operations” included in our 2025 Form 10-K.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Data as of and for the three and six months ended June 30, 2025 and 2026 has been derived from our unaudited condensed consolidated financial statements appearing at the beginning of this Quarterly Report. Results for any interim period should not be construed as an inference of what our results would be for any full fiscal year or future period.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refer to our “users” and our “customers” interchangeably throughout this Quarterly Report to refer to individuals who hold accounts on our platforms.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Overview</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Robinhood was founded on the belief that everyone should be welcome to participate in our financial system. We are creating modern financial services platforms for everyone, regardless of their wealth, income, or background.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mission is to democratize finance for all. We use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Over the last decade, we have disrupted and changed the industry, becoming the first U.S. retail broker to offer commission-free stock trading with no account minimums, which was subsequently adopted by the rest of the industry. In recent years, we have continued to build relationships with our customers by introducing new products and diversifying our services that further expand access to the financial system, including focusing on products and tools for more seasoned investors. Through these efforts, we believe we have made investing culturally relevant and understandable, and that our platforms are enabling our customers to become long-term investors and take greater control of their finances.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48310"/>
                <wp:effectExtent l="0" t="0" r="0" b="0"/>
                <wp:wrapNone/>
                <wp:docPr id="53" name="Frame5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Financial Results and Performance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respect to the three months ended June 30, 2026, as compared to the three months ended June 30, 2025:</w:t>
      </w:r>
    </w:p>
    <w:p>
      <w:pPr>
        <w:pStyle w:val="TextBody"/>
        <w:bidi w:val="0"/>
        <w:spacing w:lineRule="auto" w:line="288" w:before="0" w:after="200"/>
        <w:ind w:left="0" w:right="0" w:hanging="360"/>
        <w:jc w:val="both"/>
        <w:rPr/>
      </w:pPr>
      <w:r>
        <w:rPr>
          <w:color w:val="000000"/>
          <w:shd w:fill="FFFFFF" w:val="clear"/>
        </w:rPr>
        <w:t>•</w:t>
      </w:r>
      <w:r>
        <w:rPr>
          <w:rFonts w:ascii="Helvetica;sans-serif" w:hAnsi="Helvetica;sans-serif"/>
          <w:b w:val="false"/>
          <w:color w:val="000000"/>
          <w:sz w:val="20"/>
        </w:rPr>
        <w:t xml:space="preserve">total net revenues increased 32% to $1,308 million compared to $989 million;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net income attributable to Robinhood increased </w:t>
      </w:r>
      <w:r>
        <w:rPr>
          <w:rFonts w:ascii="Arial;sans-serif" w:hAnsi="Arial;sans-serif"/>
          <w:b w:val="false"/>
          <w:color w:val="000000"/>
          <w:sz w:val="20"/>
        </w:rPr>
        <w:t>45%</w:t>
      </w:r>
      <w:r>
        <w:rPr>
          <w:color w:val="000000"/>
        </w:rPr>
        <w:t xml:space="preserve"> </w:t>
      </w:r>
      <w:r>
        <w:rPr>
          <w:rFonts w:ascii="Helvetica;sans-serif" w:hAnsi="Helvetica;sans-serif"/>
          <w:b w:val="false"/>
          <w:color w:val="000000"/>
          <w:sz w:val="20"/>
        </w:rPr>
        <w:t>to $561 million, compared to $386 million;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diluted EPS increased </w:t>
      </w:r>
      <w:r>
        <w:rPr>
          <w:rFonts w:ascii="Arial;sans-serif" w:hAnsi="Arial;sans-serif"/>
          <w:b w:val="false"/>
          <w:color w:val="000000"/>
          <w:sz w:val="20"/>
        </w:rPr>
        <w:t>48%</w:t>
      </w:r>
      <w:r>
        <w:rPr>
          <w:color w:val="000000"/>
        </w:rPr>
        <w:t xml:space="preserve"> </w:t>
      </w:r>
      <w:r>
        <w:rPr>
          <w:rFonts w:ascii="Helvetica;sans-serif" w:hAnsi="Helvetica;sans-serif"/>
          <w:b w:val="false"/>
          <w:color w:val="000000"/>
          <w:sz w:val="20"/>
        </w:rPr>
        <w:t>to $0.62, compared to $0.42;</w:t>
      </w:r>
    </w:p>
    <w:p>
      <w:pPr>
        <w:pStyle w:val="TextBody"/>
        <w:bidi w:val="0"/>
        <w:spacing w:lineRule="auto" w:line="288" w:before="0" w:after="200"/>
        <w:ind w:left="0" w:right="0" w:hanging="360"/>
        <w:jc w:val="left"/>
        <w:rPr/>
      </w:pPr>
      <w:r>
        <w:rPr>
          <w:color w:val="000000"/>
        </w:rPr>
        <w:t>•</w:t>
      </w:r>
      <w:r>
        <w:rPr>
          <w:rFonts w:ascii="Helvetica;sans-serif" w:hAnsi="Helvetica;sans-serif"/>
          <w:b w:val="false"/>
          <w:color w:val="000000"/>
          <w:sz w:val="20"/>
        </w:rPr>
        <w:t>total operating expenses increased 33% to $734 million compared to $550 million;</w:t>
      </w:r>
    </w:p>
    <w:p>
      <w:pPr>
        <w:pStyle w:val="TextBody"/>
        <w:bidi w:val="0"/>
        <w:spacing w:lineRule="auto" w:line="288" w:before="0" w:after="200"/>
        <w:ind w:left="0" w:right="0" w:hanging="360"/>
        <w:jc w:val="both"/>
        <w:rPr/>
      </w:pPr>
      <w:r>
        <w:rPr>
          <w:color w:val="000000"/>
          <w:shd w:fill="FFFFFF" w:val="clear"/>
        </w:rPr>
        <w:t>•</w:t>
      </w:r>
      <w:r>
        <w:rPr>
          <w:rFonts w:ascii="Helvetica;sans-serif" w:hAnsi="Helvetica;sans-serif"/>
          <w:b w:val="false"/>
          <w:color w:val="000000"/>
          <w:sz w:val="20"/>
        </w:rPr>
        <w:t xml:space="preserve">Adjusted EBITDA (non-GAAP) </w:t>
      </w:r>
      <w:r>
        <w:rPr>
          <w:rFonts w:ascii="Arial;sans-serif" w:hAnsi="Arial;sans-serif"/>
          <w:b w:val="false"/>
          <w:color w:val="000000"/>
          <w:sz w:val="20"/>
        </w:rPr>
        <w:t xml:space="preserve">increased </w:t>
      </w:r>
      <w:r>
        <w:rPr>
          <w:rFonts w:ascii="Helvetica;sans-serif" w:hAnsi="Helvetica;sans-serif"/>
          <w:b w:val="false"/>
          <w:color w:val="000000"/>
          <w:sz w:val="20"/>
        </w:rPr>
        <w:t>35%</w:t>
      </w:r>
      <w:r>
        <w:rPr>
          <w:color w:val="000000"/>
          <w:shd w:fill="FFFFFF" w:val="clear"/>
        </w:rPr>
        <w:t xml:space="preserve"> </w:t>
      </w:r>
      <w:r>
        <w:rPr>
          <w:rFonts w:ascii="Helvetica;sans-serif" w:hAnsi="Helvetica;sans-serif"/>
          <w:b w:val="false"/>
          <w:color w:val="000000"/>
          <w:sz w:val="20"/>
          <w:shd w:fill="FFFFFF" w:val="clear"/>
        </w:rPr>
        <w:t>to</w:t>
      </w:r>
      <w:r>
        <w:rPr>
          <w:color w:val="000000"/>
        </w:rPr>
        <w:t xml:space="preserve"> </w:t>
      </w:r>
      <w:r>
        <w:rPr>
          <w:rFonts w:ascii="Helvetica;sans-serif" w:hAnsi="Helvetica;sans-serif"/>
          <w:b w:val="false"/>
          <w:color w:val="000000"/>
          <w:sz w:val="20"/>
          <w:shd w:fill="FFFFFF" w:val="clear"/>
        </w:rPr>
        <w:t>$741 million</w:t>
      </w:r>
      <w:r>
        <w:rPr>
          <w:color w:val="000000"/>
        </w:rPr>
        <w:t xml:space="preserve"> </w:t>
      </w:r>
      <w:r>
        <w:rPr>
          <w:rFonts w:ascii="Helvetica;sans-serif" w:hAnsi="Helvetica;sans-serif"/>
          <w:b w:val="false"/>
          <w:color w:val="000000"/>
          <w:sz w:val="20"/>
        </w:rPr>
        <w:t xml:space="preserve">compared to </w:t>
      </w:r>
      <w:r>
        <w:rPr>
          <w:rFonts w:ascii="Helvetica;sans-serif" w:hAnsi="Helvetica;sans-serif"/>
          <w:b w:val="false"/>
          <w:color w:val="000000"/>
          <w:sz w:val="20"/>
          <w:shd w:fill="FFFFFF" w:val="clear"/>
        </w:rPr>
        <w:t>$549 million</w:t>
      </w:r>
      <w:r>
        <w:rPr>
          <w:rFonts w:ascii="Helvetica;sans-serif" w:hAnsi="Helvetica;sans-serif"/>
          <w:b w:val="false"/>
          <w:color w:val="000000"/>
          <w:sz w:val="20"/>
        </w:rPr>
        <w:t>;</w:t>
      </w:r>
    </w:p>
    <w:p>
      <w:pPr>
        <w:pStyle w:val="TextBody"/>
        <w:bidi w:val="0"/>
        <w:spacing w:lineRule="auto" w:line="288" w:before="0" w:after="200"/>
        <w:ind w:left="0" w:right="0" w:hanging="360"/>
        <w:jc w:val="both"/>
        <w:rPr/>
      </w:pPr>
      <w:r>
        <w:rPr>
          <w:color w:val="000000"/>
          <w:shd w:fill="FFFFFF" w:val="clear"/>
        </w:rPr>
        <w:t>•</w:t>
      </w:r>
      <w:r>
        <w:rPr>
          <w:rFonts w:ascii="Helvetica;sans-serif" w:hAnsi="Helvetica;sans-serif"/>
          <w:b w:val="false"/>
          <w:color w:val="000000"/>
          <w:sz w:val="20"/>
        </w:rPr>
        <w:t>Funded Customers increased by 1.9 million, or 7%, to 28.4 million compared to 26.5 million, and Investment Accounts increased by 2.5 million, or 9%, to 29.9 million compared to 27.4 million;</w:t>
      </w:r>
    </w:p>
    <w:p>
      <w:pPr>
        <w:pStyle w:val="TextBody"/>
        <w:bidi w:val="0"/>
        <w:spacing w:lineRule="auto" w:line="288" w:before="0" w:after="200"/>
        <w:ind w:left="0" w:right="0" w:hanging="360"/>
        <w:jc w:val="both"/>
        <w:rPr/>
      </w:pPr>
      <w:r>
        <w:rPr>
          <w:color w:val="000000"/>
          <w:shd w:fill="FFFFFF" w:val="clear"/>
        </w:rPr>
        <w:t>•</w:t>
      </w:r>
      <w:r>
        <w:rPr>
          <w:rFonts w:ascii="Helvetica;sans-serif" w:hAnsi="Helvetica;sans-serif"/>
          <w:b w:val="false"/>
          <w:color w:val="000000"/>
          <w:sz w:val="20"/>
          <w:shd w:fill="FFFFFF" w:val="clear"/>
        </w:rPr>
        <w:t>Total Platform Assets</w:t>
      </w:r>
      <w:r>
        <w:rPr>
          <w:color w:val="000000"/>
          <w:shd w:fill="FFFFFF" w:val="clear"/>
        </w:rPr>
        <w:t xml:space="preserve"> </w:t>
      </w:r>
      <w:r>
        <w:rPr>
          <w:rFonts w:ascii="Helvetica;sans-serif" w:hAnsi="Helvetica;sans-serif"/>
          <w:b w:val="false"/>
          <w:color w:val="000000"/>
          <w:sz w:val="20"/>
          <w:shd w:fill="FFFFFF" w:val="clear"/>
        </w:rPr>
        <w:t>increased 32% to $368.7 billion compared to $278.6 billion, primarily driven by continued Net Deposits and higher equity valuations, partially offset by lower cryptocurrency valuations;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Net Deposits were $21.7 billion, which translates to an annualized growth rate of 28% relative to Total Platform Assets at the end of the first quarter of 2026, compared to $13.8 billion, which translates to an annualized growth rate of 25% relative to Total Platform Assets at the end of the first quarter of 2025. Over the past twelve months, Net Deposits were $75.7 billion, a growth rate of 27% relative to Total Platform Assets at the end of the second quarter of 2025;</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ARPU increased 24% to $187 compared to $151; and</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Robinhood Gold Subscribers increased 39% to 4.84 million compared to 3.48 million.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EBITDA is a non-GAAP financial measure. For more information about Adjusted EBITDA, including the definition and limitations of such measure, and a reconciliation of net income to Adjusted EBITDA, please see “—Non-GAAP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Helvetica;sans-serif" w:hAnsi="Helvetica;sans-serif"/>
          <w:b/>
          <w:i/>
          <w:color w:val="000000"/>
          <w:sz w:val="24"/>
        </w:rPr>
        <w:t>Recent Developments</w:t>
        <w:br/>
      </w:r>
      <w:r>
        <w:rPr>
          <w:rFonts w:ascii="Helvetica;sans-serif" w:hAnsi="Helvetica;sans-serif"/>
          <w:b w:val="false"/>
          <w:color w:val="000000"/>
          <w:sz w:val="20"/>
        </w:rPr>
        <w:br/>
      </w:r>
      <w:r>
        <w:rPr>
          <w:rFonts w:ascii="Helvetica;sans-serif" w:hAnsi="Helvetica;sans-serif"/>
          <w:b w:val="false"/>
          <w:i/>
          <w:color w:val="000000"/>
          <w:sz w:val="20"/>
        </w:rPr>
        <w:t>Workforce Reduction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June 16, 2026, we announced a reduction in force as part of our efforts to maintain a high performance culture, further accelerate product velocity, and remain lean and disciplined. This reduction in force involved approximately 10% of our full-time employees, and additionally involved the closure of a small number of open roles across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48310"/>
                <wp:effectExtent l="0" t="0" r="0" b="0"/>
                <wp:wrapNone/>
                <wp:docPr id="54" name="Frame5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Key Performance Metrics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Key performance metrics for the relevant periods were as follows: </w:t>
      </w:r>
    </w:p>
    <w:tbl>
      <w:tblPr>
        <w:tblW w:w="8634" w:type="dxa"/>
        <w:jc w:val="left"/>
        <w:tblInd w:w="0" w:type="dxa"/>
        <w:tblLayout w:type="fixed"/>
        <w:tblCellMar>
          <w:top w:w="28" w:type="dxa"/>
          <w:left w:w="28" w:type="dxa"/>
          <w:bottom w:w="28" w:type="dxa"/>
          <w:right w:w="28" w:type="dxa"/>
        </w:tblCellMar>
      </w:tblPr>
      <w:tblGrid>
        <w:gridCol w:w="1716"/>
        <w:gridCol w:w="1510"/>
        <w:gridCol w:w="1514"/>
        <w:gridCol w:w="109"/>
        <w:gridCol w:w="109"/>
        <w:gridCol w:w="109"/>
        <w:gridCol w:w="312"/>
        <w:gridCol w:w="293"/>
        <w:gridCol w:w="293"/>
        <w:gridCol w:w="161"/>
        <w:gridCol w:w="161"/>
        <w:gridCol w:w="161"/>
        <w:gridCol w:w="312"/>
        <w:gridCol w:w="293"/>
        <w:gridCol w:w="293"/>
        <w:gridCol w:w="109"/>
        <w:gridCol w:w="109"/>
        <w:gridCol w:w="109"/>
        <w:gridCol w:w="190"/>
        <w:gridCol w:w="190"/>
        <w:gridCol w:w="581"/>
      </w:tblGrid>
      <w:tr>
        <w:trPr/>
        <w:tc>
          <w:tcPr>
            <w:tcW w:w="17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Funded Customers</w:t>
            </w:r>
            <w:r>
              <w:rPr>
                <w:rFonts w:ascii="Helvetica;sans-serif" w:hAnsi="Helvetica;sans-serif"/>
                <w:b w:val="false"/>
                <w:color w:val="000000"/>
                <w:sz w:val="13"/>
              </w:rPr>
              <w:t xml:space="preserve">(1) </w:t>
            </w:r>
            <w:r>
              <w:rPr>
                <w:rFonts w:ascii="Helvetica;sans-serif" w:hAnsi="Helvetica;sans-serif"/>
                <w:b w:val="false"/>
                <w:i/>
                <w:color w:val="000000"/>
                <w:sz w:val="20"/>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Total Platform Assets</w:t>
            </w:r>
            <w:r>
              <w:rPr>
                <w:rFonts w:ascii="Helvetica;sans-serif" w:hAnsi="Helvetica;sans-serif"/>
                <w:b w:val="false"/>
                <w:color w:val="000000"/>
                <w:sz w:val="13"/>
              </w:rPr>
              <w:t>(2)</w:t>
            </w:r>
            <w:r>
              <w:rPr>
                <w:color w:val="000000"/>
              </w:rPr>
              <w:t xml:space="preserve"> </w:t>
            </w:r>
            <w:r>
              <w:rPr>
                <w:rFonts w:ascii="Helvetica;sans-serif" w:hAnsi="Helvetica;sans-serif"/>
                <w:b w:val="false"/>
                <w:i/>
                <w:color w:val="000000"/>
                <w:sz w:val="20"/>
              </w:rPr>
              <w:t>(in billions)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Net Deposits</w:t>
            </w:r>
            <w:r>
              <w:rPr>
                <w:color w:val="000000"/>
              </w:rPr>
              <w:t xml:space="preserve"> </w:t>
            </w:r>
            <w:r>
              <w:rPr>
                <w:rFonts w:ascii="Helvetica;sans-serif" w:hAnsi="Helvetica;sans-serif"/>
                <w:b w:val="false"/>
                <w:i/>
                <w:color w:val="000000"/>
                <w:sz w:val="20"/>
              </w:rPr>
              <w:t>(in billions)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Annualized Growth Rate with respect to Net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ARPU </w:t>
            </w:r>
            <w:r>
              <w:rPr>
                <w:rFonts w:ascii="Helvetica;sans-serif" w:hAnsi="Helvetica;sans-serif"/>
                <w:b w:val="false"/>
                <w:i/>
                <w:color w:val="000000"/>
                <w:sz w:val="20"/>
              </w:rPr>
              <w:t>(in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Robinhood Gold Subscribers</w:t>
            </w:r>
            <w:r>
              <w:rPr>
                <w:color w:val="000000"/>
              </w:rPr>
              <w:t xml:space="preserve"> </w:t>
            </w:r>
            <w:r>
              <w:rPr>
                <w:rFonts w:ascii="Helvetica;sans-serif" w:hAnsi="Helvetica;sans-serif"/>
                <w:b w:val="false"/>
                <w:i/>
                <w:color w:val="000000"/>
                <w:sz w:val="20"/>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bidi w:val="0"/>
        <w:spacing w:lineRule="auto" w:line="288" w:before="0" w:after="200"/>
        <w:ind w:left="0" w:right="0" w:hanging="360"/>
        <w:jc w:val="left"/>
        <w:rPr>
          <w:rFonts w:ascii="Helvetica;sans-serif" w:hAnsi="Helvetica;sans-serif"/>
          <w:b w:val="false"/>
          <w:color w:val="000000"/>
          <w:sz w:val="16"/>
        </w:rPr>
      </w:pPr>
      <w:r>
        <w:rPr>
          <w:rFonts w:ascii="Helvetica;sans-serif" w:hAnsi="Helvetica;sans-serif"/>
          <w:b w:val="false"/>
          <w:color w:val="000000"/>
          <w:sz w:val="16"/>
        </w:rPr>
        <w:t>(1)The following table describes the annual changes within Funded Customers:</w:t>
      </w:r>
    </w:p>
    <w:tbl>
      <w:tblPr>
        <w:tblW w:w="6457" w:type="dxa"/>
        <w:jc w:val="left"/>
        <w:tblInd w:w="0" w:type="dxa"/>
        <w:tblLayout w:type="fixed"/>
        <w:tblCellMar>
          <w:top w:w="28" w:type="dxa"/>
          <w:left w:w="28" w:type="dxa"/>
          <w:bottom w:w="28" w:type="dxa"/>
          <w:right w:w="28" w:type="dxa"/>
        </w:tblCellMar>
      </w:tblPr>
      <w:tblGrid>
        <w:gridCol w:w="972"/>
        <w:gridCol w:w="851"/>
        <w:gridCol w:w="861"/>
        <w:gridCol w:w="109"/>
        <w:gridCol w:w="109"/>
        <w:gridCol w:w="109"/>
        <w:gridCol w:w="295"/>
        <w:gridCol w:w="246"/>
        <w:gridCol w:w="195"/>
        <w:gridCol w:w="195"/>
        <w:gridCol w:w="195"/>
        <w:gridCol w:w="195"/>
        <w:gridCol w:w="295"/>
        <w:gridCol w:w="246"/>
        <w:gridCol w:w="195"/>
        <w:gridCol w:w="109"/>
        <w:gridCol w:w="109"/>
        <w:gridCol w:w="109"/>
        <w:gridCol w:w="240"/>
        <w:gridCol w:w="241"/>
        <w:gridCol w:w="581"/>
      </w:tblGrid>
      <w:tr>
        <w:trPr/>
        <w:tc>
          <w:tcPr>
            <w:tcW w:w="97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 Change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Funded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Funded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Resurrected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Acquired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Churned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Funded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200"/>
        <w:ind w:left="0" w:right="0" w:hanging="360"/>
        <w:jc w:val="left"/>
        <w:rPr>
          <w:rFonts w:ascii="Helvetica;sans-serif" w:hAnsi="Helvetica;sans-serif"/>
          <w:b w:val="false"/>
          <w:color w:val="000000"/>
          <w:sz w:val="16"/>
        </w:rPr>
      </w:pPr>
      <w:r>
        <w:rPr>
          <w:rFonts w:ascii="Helvetica;sans-serif" w:hAnsi="Helvetica;sans-serif"/>
          <w:b w:val="false"/>
          <w:color w:val="000000"/>
          <w:sz w:val="16"/>
        </w:rPr>
        <w:t>(2)The following table sets out the components of Total Platform Assets by type of asset:</w:t>
      </w:r>
    </w:p>
    <w:tbl>
      <w:tblPr>
        <w:tblW w:w="9015" w:type="dxa"/>
        <w:jc w:val="left"/>
        <w:tblInd w:w="0" w:type="dxa"/>
        <w:tblLayout w:type="fixed"/>
        <w:tblCellMar>
          <w:top w:w="28" w:type="dxa"/>
          <w:left w:w="28" w:type="dxa"/>
          <w:bottom w:w="28" w:type="dxa"/>
          <w:right w:w="28" w:type="dxa"/>
        </w:tblCellMar>
      </w:tblPr>
      <w:tblGrid>
        <w:gridCol w:w="1946"/>
        <w:gridCol w:w="1714"/>
        <w:gridCol w:w="1380"/>
        <w:gridCol w:w="109"/>
        <w:gridCol w:w="109"/>
        <w:gridCol w:w="109"/>
        <w:gridCol w:w="211"/>
        <w:gridCol w:w="646"/>
        <w:gridCol w:w="109"/>
        <w:gridCol w:w="109"/>
        <w:gridCol w:w="109"/>
        <w:gridCol w:w="109"/>
        <w:gridCol w:w="211"/>
        <w:gridCol w:w="646"/>
        <w:gridCol w:w="109"/>
        <w:gridCol w:w="109"/>
        <w:gridCol w:w="109"/>
        <w:gridCol w:w="109"/>
        <w:gridCol w:w="240"/>
        <w:gridCol w:w="241"/>
        <w:gridCol w:w="581"/>
      </w:tblGrid>
      <w:tr>
        <w:trPr/>
        <w:tc>
          <w:tcPr>
            <w:tcW w:w="1946"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 Change</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 and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RIA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held by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Receivables from Customers (primarily margin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Platform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200"/>
        <w:ind w:left="0" w:right="0" w:hanging="360"/>
        <w:jc w:val="left"/>
        <w:rPr>
          <w:rFonts w:ascii="Helvetica;sans-serif" w:hAnsi="Helvetica;sans-serif"/>
          <w:b w:val="false"/>
          <w:color w:val="000000"/>
          <w:sz w:val="16"/>
        </w:rPr>
      </w:pPr>
      <w:r>
        <w:rPr>
          <w:rFonts w:ascii="Helvetica;sans-serif" w:hAnsi="Helvetica;sans-serif"/>
          <w:b w:val="false"/>
          <w:color w:val="000000"/>
          <w:sz w:val="16"/>
        </w:rPr>
        <w:t>The following table describes the changes within Total Platform Assets:</w:t>
      </w:r>
    </w:p>
    <w:tbl>
      <w:tblPr>
        <w:tblW w:w="6814" w:type="dxa"/>
        <w:jc w:val="left"/>
        <w:tblInd w:w="0" w:type="dxa"/>
        <w:tblLayout w:type="fixed"/>
        <w:tblCellMar>
          <w:top w:w="28" w:type="dxa"/>
          <w:left w:w="28" w:type="dxa"/>
          <w:bottom w:w="28" w:type="dxa"/>
          <w:right w:w="28" w:type="dxa"/>
        </w:tblCellMar>
      </w:tblPr>
      <w:tblGrid>
        <w:gridCol w:w="1060"/>
        <w:gridCol w:w="934"/>
        <w:gridCol w:w="946"/>
        <w:gridCol w:w="109"/>
        <w:gridCol w:w="109"/>
        <w:gridCol w:w="109"/>
        <w:gridCol w:w="211"/>
        <w:gridCol w:w="646"/>
        <w:gridCol w:w="109"/>
        <w:gridCol w:w="109"/>
        <w:gridCol w:w="109"/>
        <w:gridCol w:w="109"/>
        <w:gridCol w:w="211"/>
        <w:gridCol w:w="646"/>
        <w:gridCol w:w="109"/>
        <w:gridCol w:w="109"/>
        <w:gridCol w:w="109"/>
        <w:gridCol w:w="109"/>
        <w:gridCol w:w="190"/>
        <w:gridCol w:w="190"/>
        <w:gridCol w:w="581"/>
      </w:tblGrid>
      <w:tr>
        <w:trPr/>
        <w:tc>
          <w:tcPr>
            <w:tcW w:w="106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 Change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Total Platform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Acquired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market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Total Platform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48310"/>
                <wp:effectExtent l="0" t="0" r="0" b="0"/>
                <wp:wrapNone/>
                <wp:docPr id="55" name="Frame5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Non-GAAP Financial Measures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Adjusted EBITDA</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collect and analyze operating and financial data to evaluate the health of our business, allocate our resources and assess our performance. In addition to total net revenues, net income, and other results under GAAP, we utilize non-GAAP calculations of Adjusted EBITDA. Adjusted EBITDA is defined as net income attributable to Robinhood, excluding (i) net income (loss) attributable to non-controlling interests, (ii) interest expenses related to debt obligations, (iii) provision for (benefit from) income taxes, (iv) depreciation and amortization, (v) SBC, (vi) significant legal and tax settlements and reserves, and (vii)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pStyle w:val="TextBody"/>
        <w:bidi w:val="0"/>
        <w:spacing w:before="0" w:after="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48310"/>
                <wp:effectExtent l="0" t="0" r="0" b="0"/>
                <wp:wrapNone/>
                <wp:docPr id="56" name="Frame5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a reconciliation of Adjusted EBITDA to the most directly comparable GAAP measure, net income:</w:t>
      </w:r>
    </w:p>
    <w:tbl>
      <w:tblPr>
        <w:tblW w:w="9741" w:type="dxa"/>
        <w:jc w:val="left"/>
        <w:tblInd w:w="0" w:type="dxa"/>
        <w:tblLayout w:type="fixed"/>
        <w:tblCellMar>
          <w:top w:w="28" w:type="dxa"/>
          <w:left w:w="28" w:type="dxa"/>
          <w:bottom w:w="28" w:type="dxa"/>
          <w:right w:w="28" w:type="dxa"/>
        </w:tblCellMar>
      </w:tblPr>
      <w:tblGrid>
        <w:gridCol w:w="1817"/>
        <w:gridCol w:w="1594"/>
        <w:gridCol w:w="1613"/>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311"/>
      </w:tblGrid>
      <w:tr>
        <w:trPr/>
        <w:tc>
          <w:tcPr>
            <w:tcW w:w="181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Robinhood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 attributable to non-controlling interests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debt obligations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EBITDA (non-GAAP)</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Restructuring charges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val="false"/>
                <w:color w:val="000000"/>
                <w:sz w:val="20"/>
              </w:rPr>
              <w:t xml:space="preserve">Gain on deconsolidation of RVI </w:t>
            </w:r>
            <w:r>
              <w:rPr>
                <w:rFonts w:ascii="Helvetica;sans-serif" w:hAnsi="Helvetica;sans-serif"/>
                <w:b w:val="false"/>
                <w:color w:val="000000"/>
                <w:sz w:val="13"/>
              </w:rPr>
              <w:t>(1)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val="false"/>
                <w:color w:val="000000"/>
                <w:sz w:val="20"/>
              </w:rPr>
              <w:t xml:space="preserve">Unrealized and realized gains in equity securities </w:t>
            </w:r>
            <w:r>
              <w:rPr>
                <w:rFonts w:ascii="Helvetica;sans-serif" w:hAnsi="Helvetica;sans-serif"/>
                <w:b w:val="false"/>
                <w:color w:val="000000"/>
                <w:sz w:val="13"/>
              </w:rPr>
              <w:t>(2)</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1,275 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jc w:val="both"/>
        <w:rPr/>
      </w:pPr>
      <w:r>
        <w:rPr>
          <w:rFonts w:ascii="Helvetica;sans-serif" w:hAnsi="Helvetica;sans-serif"/>
          <w:b w:val="false"/>
          <w:color w:val="000000"/>
          <w:sz w:val="10"/>
        </w:rPr>
        <w:t>(1)</w:t>
      </w:r>
      <w:r>
        <w:rPr>
          <w:color w:val="000000"/>
        </w:rPr>
        <w:t xml:space="preserve"> </w:t>
      </w:r>
      <w:r>
        <w:rPr>
          <w:rFonts w:ascii="Helvetica;sans-serif" w:hAnsi="Helvetica;sans-serif"/>
          <w:b w:val="false"/>
          <w:color w:val="000000"/>
          <w:sz w:val="16"/>
        </w:rPr>
        <w:t>The $106 million</w:t>
      </w:r>
      <w:r>
        <w:rPr>
          <w:color w:val="000000"/>
        </w:rPr>
        <w:t xml:space="preserve"> </w:t>
      </w:r>
      <w:r>
        <w:rPr>
          <w:rFonts w:ascii="Helvetica;sans-serif" w:hAnsi="Helvetica;sans-serif"/>
          <w:b w:val="false"/>
          <w:color w:val="000000"/>
          <w:sz w:val="16"/>
        </w:rPr>
        <w:t>gain from deconsolidation excludes a $17 million unrealized gain recognized in net income earlier in the current period, which was reflected in the carrying value of RVI at deconsolidation and is presented separately as a realized gain.</w:t>
      </w:r>
    </w:p>
    <w:p>
      <w:pPr>
        <w:pStyle w:val="TextBody"/>
        <w:bidi w:val="0"/>
        <w:spacing w:lineRule="auto" w:line="288" w:before="0" w:after="200"/>
        <w:jc w:val="both"/>
        <w:rPr/>
      </w:pPr>
      <w:r>
        <w:rPr>
          <w:rFonts w:ascii="Helvetica;sans-serif" w:hAnsi="Helvetica;sans-serif"/>
          <w:b w:val="false"/>
          <w:color w:val="000000"/>
          <w:sz w:val="10"/>
        </w:rPr>
        <w:t>(2)</w:t>
      </w:r>
      <w:r>
        <w:rPr>
          <w:color w:val="000000"/>
        </w:rPr>
        <w:t xml:space="preserve"> </w:t>
      </w:r>
      <w:r>
        <w:rPr>
          <w:rFonts w:ascii="Helvetica;sans-serif" w:hAnsi="Helvetica;sans-serif"/>
          <w:b w:val="false"/>
          <w:color w:val="000000"/>
          <w:sz w:val="16"/>
        </w:rPr>
        <w:t>For the three and six months ended June 30, 2026, primarily related to investments held by RVI.</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48310"/>
                <wp:effectExtent l="0" t="0" r="0" b="0"/>
                <wp:wrapNone/>
                <wp:docPr id="57" name="Frame5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 xml:space="preserve">Results of Operations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unaudited condensed consolidated statements of operations data:</w:t>
      </w:r>
    </w:p>
    <w:tbl>
      <w:tblPr>
        <w:tblW w:w="10124" w:type="dxa"/>
        <w:jc w:val="left"/>
        <w:tblInd w:w="0" w:type="dxa"/>
        <w:tblLayout w:type="fixed"/>
        <w:tblCellMar>
          <w:top w:w="28" w:type="dxa"/>
          <w:left w:w="28" w:type="dxa"/>
          <w:bottom w:w="28" w:type="dxa"/>
          <w:right w:w="28" w:type="dxa"/>
        </w:tblCellMar>
      </w:tblPr>
      <w:tblGrid>
        <w:gridCol w:w="2009"/>
        <w:gridCol w:w="1761"/>
        <w:gridCol w:w="1794"/>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54"/>
      </w:tblGrid>
      <w:tr>
        <w:trPr/>
        <w:tc>
          <w:tcPr>
            <w:tcW w:w="200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5564" w:type="dxa"/>
            <w:gridSpan w:val="3"/>
            <w:vMerge w:val="continue"/>
            <w:tcBorders/>
            <w:tcMar>
              <w:top w:w="0" w:type="dxa"/>
              <w:left w:w="0" w:type="dxa"/>
              <w:bottom w:w="0" w:type="dxa"/>
              <w:right w:w="0" w:type="dxa"/>
            </w:tcMar>
            <w:vAlign w:val="center"/>
          </w:tcPr>
          <w:p>
            <w:pPr>
              <w:pStyle w:val="Normal"/>
              <w:bidi w:val="0"/>
              <w:jc w:val="left"/>
              <w:rPr/>
            </w:pPr>
            <w:r>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Operating expenses</w:t>
            </w:r>
            <w:r>
              <w:rPr>
                <w:rFonts w:ascii="Helvetica;sans-serif" w:hAnsi="Helvetica;sans-serif"/>
                <w:b w:val="false"/>
                <w:color w:val="000000"/>
                <w:sz w:val="13"/>
              </w:rPr>
              <w:t>(1)</w:t>
            </w:r>
            <w:r>
              <w:rPr>
                <w:rFonts w:ascii="Helvetica;sans-serif" w:hAnsi="Helvetica;sans-serif"/>
                <w:b w:val="false"/>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Net income (loss) attributable to non-controlling interests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Robinhood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(1)Includes SBC expense as follows:</w:t>
      </w:r>
    </w:p>
    <w:tbl>
      <w:tblPr>
        <w:tblW w:w="6795" w:type="dxa"/>
        <w:jc w:val="left"/>
        <w:tblInd w:w="0" w:type="dxa"/>
        <w:tblLayout w:type="fixed"/>
        <w:tblCellMar>
          <w:top w:w="28" w:type="dxa"/>
          <w:left w:w="28" w:type="dxa"/>
          <w:bottom w:w="28" w:type="dxa"/>
          <w:right w:w="28" w:type="dxa"/>
        </w:tblCellMar>
      </w:tblPr>
      <w:tblGrid>
        <w:gridCol w:w="966"/>
        <w:gridCol w:w="847"/>
        <w:gridCol w:w="857"/>
        <w:gridCol w:w="211"/>
        <w:gridCol w:w="376"/>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SBC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48310"/>
                <wp:effectExtent l="0" t="0" r="0" b="0"/>
                <wp:wrapNone/>
                <wp:docPr id="58" name="Frame5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Comparison of the Three and Six Months Ended June 30, 2025 and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Transaction-Based Revenues</w:t>
      </w:r>
    </w:p>
    <w:tbl>
      <w:tblPr>
        <w:tblW w:w="10205" w:type="dxa"/>
        <w:jc w:val="left"/>
        <w:tblInd w:w="0" w:type="dxa"/>
        <w:tblLayout w:type="fixed"/>
        <w:tblCellMar>
          <w:top w:w="28" w:type="dxa"/>
          <w:left w:w="28" w:type="dxa"/>
          <w:bottom w:w="28" w:type="dxa"/>
          <w:right w:w="28" w:type="dxa"/>
        </w:tblCellMar>
      </w:tblPr>
      <w:tblGrid>
        <w:gridCol w:w="1450"/>
        <w:gridCol w:w="990"/>
        <w:gridCol w:w="982"/>
        <w:gridCol w:w="279"/>
        <w:gridCol w:w="210"/>
        <w:gridCol w:w="211"/>
        <w:gridCol w:w="134"/>
        <w:gridCol w:w="134"/>
        <w:gridCol w:w="134"/>
        <w:gridCol w:w="279"/>
        <w:gridCol w:w="210"/>
        <w:gridCol w:w="211"/>
        <w:gridCol w:w="109"/>
        <w:gridCol w:w="109"/>
        <w:gridCol w:w="109"/>
        <w:gridCol w:w="207"/>
        <w:gridCol w:w="207"/>
        <w:gridCol w:w="520"/>
        <w:gridCol w:w="109"/>
        <w:gridCol w:w="109"/>
        <w:gridCol w:w="109"/>
        <w:gridCol w:w="261"/>
        <w:gridCol w:w="292"/>
        <w:gridCol w:w="294"/>
        <w:gridCol w:w="125"/>
        <w:gridCol w:w="125"/>
        <w:gridCol w:w="125"/>
        <w:gridCol w:w="261"/>
        <w:gridCol w:w="292"/>
        <w:gridCol w:w="294"/>
        <w:gridCol w:w="109"/>
        <w:gridCol w:w="109"/>
        <w:gridCol w:w="109"/>
        <w:gridCol w:w="203"/>
        <w:gridCol w:w="203"/>
        <w:gridCol w:w="591"/>
      </w:tblGrid>
      <w:tr>
        <w:trPr/>
        <w:tc>
          <w:tcPr>
            <w:tcW w:w="145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Event contracts</w:t>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 as a % of total net revenues:</w:t>
            </w:r>
          </w:p>
        </w:tc>
        <w:tc>
          <w:tcPr>
            <w:tcW w:w="7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Event contracts</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7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Transaction-based revenues increased by $237 million and $277 million, for the three and six months ended June 30, 2026, primarily driven by increases of $146 million and $247 million in event contracts, $77 million and $97 million in options, and $63 million and $89 million in equities, partially offset by decreases of $60 million and $178 million in cryptocurrencies.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Options revenues increased due to a 43% and 32% increase in Options Contracts Traded per trader. The increase was partially offset by lower option rebate rates due to the mix of ticker symbols traded as different ticker symbols pay different rebate rates.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Event contracts revenues increased primarily due to an acceleration in our prediction markets business, reflecting higher trading activity compared to the same period in 2025 when the offering was still in its early stage.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Cryptocurrencies revenues decreased primarily due to lower cryptocurrency rebate rates from crypto market makers, a 16% and 24% decrease in the number of users placing cryptocurrency trades, and a 20% and 21% decrease in the average Notional Trading Volume traded per trader, partially offset by cryptocurrencies revenues benefiting from our acquisition of Bitstamp.</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Equities revenues increased primarily due to a 56% and 51% increase in the average Notional Trading Volume traded per trader and a 13% and 6% increase in the number of users placing equity trades. Additionally, equities revenues increased as a result of higher equity rebate rates due to the mix of ticker symbols traded as different ticker symbols pay different rebate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48310"/>
                <wp:effectExtent l="0" t="0" r="0" b="0"/>
                <wp:wrapNone/>
                <wp:docPr id="59" name="Frame5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Net Interest Revenues</w:t>
      </w:r>
    </w:p>
    <w:tbl>
      <w:tblPr>
        <w:tblW w:w="10205" w:type="dxa"/>
        <w:jc w:val="left"/>
        <w:tblInd w:w="0" w:type="dxa"/>
        <w:tblLayout w:type="fixed"/>
        <w:tblCellMar>
          <w:top w:w="28" w:type="dxa"/>
          <w:left w:w="28" w:type="dxa"/>
          <w:bottom w:w="28" w:type="dxa"/>
          <w:right w:w="28" w:type="dxa"/>
        </w:tblCellMar>
      </w:tblPr>
      <w:tblGrid>
        <w:gridCol w:w="1038"/>
        <w:gridCol w:w="817"/>
        <w:gridCol w:w="819"/>
        <w:gridCol w:w="211"/>
        <w:gridCol w:w="481"/>
        <w:gridCol w:w="286"/>
        <w:gridCol w:w="109"/>
        <w:gridCol w:w="109"/>
        <w:gridCol w:w="109"/>
        <w:gridCol w:w="211"/>
        <w:gridCol w:w="481"/>
        <w:gridCol w:w="286"/>
        <w:gridCol w:w="109"/>
        <w:gridCol w:w="109"/>
        <w:gridCol w:w="109"/>
        <w:gridCol w:w="240"/>
        <w:gridCol w:w="241"/>
        <w:gridCol w:w="520"/>
        <w:gridCol w:w="109"/>
        <w:gridCol w:w="109"/>
        <w:gridCol w:w="109"/>
        <w:gridCol w:w="211"/>
        <w:gridCol w:w="481"/>
        <w:gridCol w:w="286"/>
        <w:gridCol w:w="109"/>
        <w:gridCol w:w="109"/>
        <w:gridCol w:w="109"/>
        <w:gridCol w:w="211"/>
        <w:gridCol w:w="481"/>
        <w:gridCol w:w="286"/>
        <w:gridCol w:w="109"/>
        <w:gridCol w:w="109"/>
        <w:gridCol w:w="109"/>
        <w:gridCol w:w="243"/>
        <w:gridCol w:w="238"/>
        <w:gridCol w:w="502"/>
      </w:tblGrid>
      <w:tr>
        <w:trPr/>
        <w:tc>
          <w:tcPr>
            <w:tcW w:w="103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cash equivalents, securities, and deposits,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 as a % of total net revenues:</w:t>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cash equivalents, securities, and deposits,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270"/>
        <w:jc w:val="both"/>
        <w:rPr>
          <w:rFonts w:ascii="Helvetica;sans-serif" w:hAnsi="Helvetica;sans-serif"/>
          <w:b w:val="false"/>
          <w:color w:val="000000"/>
          <w:sz w:val="20"/>
        </w:rPr>
      </w:pPr>
      <w:r>
        <w:rPr>
          <w:rFonts w:ascii="Helvetica;sans-serif" w:hAnsi="Helvetica;sans-serif"/>
          <w:b w:val="false"/>
          <w:color w:val="000000"/>
          <w:sz w:val="20"/>
        </w:rPr>
        <w:t>Net interest revenues increased by $32 million and $101 million for the three and six months ended June 30, 2026, primarily driven by higher margin interest and net credit card interest, due to increased margin borrowers and the growth in our credit card business, as well as higher accretion income on investments. The increase was partially offset by a decrease in interest revenue from securities lending activities driven by a relatively unfavorable average rate on higher stock loan balances, as well as a decrease in interest revenue on Cash Sweep, corporate cash and investments driven by a lower short-term interest rate environment. We anticipate any potential future rate cuts by the Federal Reserve will negatively impact our net interest revenues and adversely affect our customers’ returns on cash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48310"/>
                <wp:effectExtent l="0" t="0" r="0" b="0"/>
                <wp:wrapNone/>
                <wp:docPr id="60" name="Frame5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interest-earning assets, the revenue generated by these assets, and their respective annualized yields:</w:t>
      </w:r>
    </w:p>
    <w:tbl>
      <w:tblPr>
        <w:tblW w:w="10205" w:type="dxa"/>
        <w:jc w:val="left"/>
        <w:tblInd w:w="0" w:type="dxa"/>
        <w:tblLayout w:type="fixed"/>
        <w:tblCellMar>
          <w:top w:w="28" w:type="dxa"/>
          <w:left w:w="28" w:type="dxa"/>
          <w:bottom w:w="28" w:type="dxa"/>
          <w:right w:w="28" w:type="dxa"/>
        </w:tblCellMar>
      </w:tblPr>
      <w:tblGrid>
        <w:gridCol w:w="508"/>
        <w:gridCol w:w="289"/>
        <w:gridCol w:w="292"/>
        <w:gridCol w:w="197"/>
        <w:gridCol w:w="650"/>
        <w:gridCol w:w="109"/>
        <w:gridCol w:w="207"/>
        <w:gridCol w:w="683"/>
        <w:gridCol w:w="115"/>
        <w:gridCol w:w="209"/>
        <w:gridCol w:w="691"/>
        <w:gridCol w:w="118"/>
        <w:gridCol w:w="201"/>
        <w:gridCol w:w="572"/>
        <w:gridCol w:w="263"/>
        <w:gridCol w:w="294"/>
        <w:gridCol w:w="992"/>
        <w:gridCol w:w="164"/>
        <w:gridCol w:w="109"/>
        <w:gridCol w:w="109"/>
        <w:gridCol w:w="109"/>
        <w:gridCol w:w="276"/>
        <w:gridCol w:w="467"/>
        <w:gridCol w:w="155"/>
        <w:gridCol w:w="257"/>
        <w:gridCol w:w="479"/>
        <w:gridCol w:w="143"/>
        <w:gridCol w:w="196"/>
        <w:gridCol w:w="241"/>
        <w:gridCol w:w="109"/>
        <w:gridCol w:w="246"/>
        <w:gridCol w:w="549"/>
        <w:gridCol w:w="206"/>
      </w:tblGrid>
      <w:tr>
        <w:trPr/>
        <w:tc>
          <w:tcPr>
            <w:tcW w:w="50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millions, except for annualized yield)</w:t>
            </w:r>
          </w:p>
        </w:tc>
        <w:tc>
          <w:tcPr>
            <w:tcW w:w="9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Margin Book</w:t>
            </w:r>
          </w:p>
        </w:tc>
        <w:tc>
          <w:tcPr>
            <w:tcW w:w="10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hanging="180"/>
              <w:jc w:val="center"/>
              <w:rPr/>
            </w:pPr>
            <w:r>
              <w:rPr>
                <w:rFonts w:ascii="Helvetica;sans-serif" w:hAnsi="Helvetica;sans-serif"/>
                <w:b w:val="false"/>
                <w:color w:val="000000"/>
                <w:sz w:val="16"/>
              </w:rPr>
              <w:t>Cash and deposits</w:t>
            </w:r>
            <w:r>
              <w:rPr>
                <w:rFonts w:ascii="Helvetica;sans-serif" w:hAnsi="Helvetica;sans-serif"/>
                <w:b w:val="false"/>
                <w:color w:val="000000"/>
                <w:sz w:val="10"/>
              </w:rPr>
              <w:t>(1)</w:t>
            </w:r>
          </w:p>
        </w:tc>
        <w:tc>
          <w:tcPr>
            <w:tcW w:w="10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 xml:space="preserve">Cash Sweep </w:t>
            </w:r>
          </w:p>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(off-balance sheet)</w:t>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hanging="180"/>
              <w:jc w:val="center"/>
              <w:rPr/>
            </w:pPr>
            <w:r>
              <w:rPr>
                <w:rFonts w:ascii="Helvetica;sans-serif" w:hAnsi="Helvetica;sans-serif"/>
                <w:b w:val="false"/>
                <w:color w:val="000000"/>
                <w:sz w:val="16"/>
              </w:rPr>
              <w:t>Credit card, net</w:t>
            </w:r>
            <w:r>
              <w:rPr>
                <w:rFonts w:ascii="Helvetica;sans-serif" w:hAnsi="Helvetica;sans-serif"/>
                <w:b w:val="false"/>
                <w:color w:val="000000"/>
                <w:sz w:val="10"/>
              </w:rPr>
              <w:t>(2)</w:t>
            </w:r>
          </w:p>
        </w:tc>
        <w:tc>
          <w:tcPr>
            <w:tcW w:w="14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interest-earning assets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Securities lending, net</w:t>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Helvetica;sans-serif" w:hAnsi="Helvetica;sans-serif"/>
                <w:b w:val="false"/>
                <w:color w:val="000000"/>
                <w:sz w:val="16"/>
              </w:rPr>
              <w:t>Interest expenses related to credit facilities</w:t>
            </w:r>
            <w:r>
              <w:rPr>
                <w:rFonts w:ascii="Helvetica;sans-serif" w:hAnsi="Helvetica;sans-serif"/>
                <w:b w:val="false"/>
                <w:color w:val="000000"/>
                <w:sz w:val="10"/>
              </w:rPr>
              <w:t>(5)</w:t>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color w:val="000000"/>
                <w:sz w:val="16"/>
              </w:rPr>
            </w:pPr>
            <w:r>
              <w:rPr>
                <w:rFonts w:ascii="Helvetica;sans-serif" w:hAnsi="Helvetica;sans-serif"/>
                <w:b w:val="false"/>
                <w:color w:val="000000"/>
                <w:sz w:val="16"/>
              </w:rPr>
              <w:t>Other</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net interest revenues</w:t>
            </w:r>
          </w:p>
        </w:tc>
      </w:tr>
      <w:tr>
        <w:trPr/>
        <w:tc>
          <w:tcPr>
            <w:tcW w:w="655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June 30, 2026</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18,687 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29,707 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1,457 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71,492</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March 31, 2026</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16,669 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26,023 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60,777</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28,020 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1,347 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66,383</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387</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389</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Annualized yield</w:t>
            </w:r>
            <w:r>
              <w:rPr>
                <w:rFonts w:ascii="Helvetica;sans-serif" w:hAnsi="Helvetica;sans-serif"/>
                <w:b w:val="false"/>
                <w:color w:val="000000"/>
                <w:sz w:val="10"/>
              </w:rPr>
              <w:t>(4)</w:t>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4.52%</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2.02%</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0.59%</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11.88 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2.34%</w:t>
            </w:r>
          </w:p>
        </w:tc>
      </w:tr>
      <w:tr>
        <w:trPr/>
        <w:tc>
          <w:tcPr>
            <w:tcW w:w="1089"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March 31, 2026</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16,669 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26,023 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60,777</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2025</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32,786 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61,644</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29,019 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1,084 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61,421</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362</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359</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Annualized yield</w:t>
            </w:r>
            <w:r>
              <w:rPr>
                <w:rFonts w:ascii="Helvetica;sans-serif" w:hAnsi="Helvetica;sans-serif"/>
                <w:b w:val="false"/>
                <w:color w:val="000000"/>
                <w:sz w:val="10"/>
              </w:rPr>
              <w:t>(4)</w:t>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4.45%</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2.63%</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0.62%</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11.81 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2.34%</w:t>
            </w:r>
          </w:p>
        </w:tc>
      </w:tr>
      <w:tr>
        <w:trPr/>
        <w:tc>
          <w:tcPr>
            <w:tcW w:w="1089"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June 30, 2025</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32,719 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56,783</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March 31, 2025</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28,187 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47,181</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30,148 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51,388</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310</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357</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Annualized yield</w:t>
            </w:r>
            <w:r>
              <w:rPr>
                <w:rFonts w:ascii="Helvetica;sans-serif" w:hAnsi="Helvetica;sans-serif"/>
                <w:b w:val="false"/>
                <w:color w:val="000000"/>
                <w:sz w:val="10"/>
              </w:rPr>
              <w:t>(4)</w:t>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5.12%</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4.16%</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10.14%</w:t>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2.78%</w:t>
            </w:r>
          </w:p>
        </w:tc>
      </w:tr>
      <w:tr>
        <w:trPr/>
        <w:tc>
          <w:tcPr>
            <w:tcW w:w="655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June 30, 2026</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18,687 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29,707 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1,457 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71,492</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2025</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32,786 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61,644</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15,890 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28,876 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1,228 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64,349</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749</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748</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 yield</w:t>
            </w:r>
            <w:r>
              <w:rPr>
                <w:rFonts w:ascii="Helvetica;sans-serif" w:hAnsi="Helvetica;sans-serif"/>
                <w:b w:val="false"/>
                <w:color w:val="000000"/>
                <w:sz w:val="10"/>
              </w:rPr>
              <w:t>(4)</w:t>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4.45%</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2.30%</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11.73%</w:t>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2.32%</w:t>
            </w:r>
          </w:p>
        </w:tc>
      </w:tr>
      <w:tr>
        <w:trPr/>
        <w:tc>
          <w:tcPr>
            <w:tcW w:w="655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June 30, 2025</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32,719 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56,783</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2024</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26,064 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44,307</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28,468 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48,664</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583</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647</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Annualized yield</w:t>
            </w:r>
            <w:r>
              <w:rPr>
                <w:rFonts w:ascii="Helvetica;sans-serif" w:hAnsi="Helvetica;sans-serif"/>
                <w:b w:val="false"/>
                <w:color w:val="000000"/>
                <w:sz w:val="10"/>
              </w:rPr>
              <w:t>(4)</w:t>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5.20%</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4.10%</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9.96%</w:t>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2.66%</w:t>
            </w:r>
          </w:p>
        </w:tc>
      </w:tr>
    </w:tbl>
    <w:p>
      <w:pPr>
        <w:pStyle w:val="TextBody"/>
        <w:bidi w:val="0"/>
        <w:spacing w:lineRule="auto" w:line="288" w:before="0" w:after="0"/>
        <w:ind w:left="0" w:right="0" w:firstLine="360"/>
        <w:jc w:val="both"/>
        <w:rPr>
          <w:rFonts w:ascii="Helvetica;sans-serif" w:hAnsi="Helvetica;sans-serif"/>
          <w:b w:val="false"/>
          <w:color w:val="000000"/>
          <w:sz w:val="16"/>
        </w:rPr>
      </w:pPr>
      <w:r>
        <w:rPr>
          <w:rFonts w:ascii="Helvetica;sans-serif" w:hAnsi="Helvetica;sans-serif"/>
          <w:b w:val="false"/>
          <w:color w:val="000000"/>
          <w:sz w:val="16"/>
        </w:rPr>
        <w:t>__________</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 xml:space="preserve">(1) </w:t>
      </w:r>
      <w:r>
        <w:rPr>
          <w:rFonts w:ascii="Helvetica;sans-serif" w:hAnsi="Helvetica;sans-serif"/>
          <w:b w:val="false"/>
          <w:color w:val="000000"/>
          <w:sz w:val="16"/>
          <w:shd w:fill="FFFFFF" w:val="clear"/>
        </w:rPr>
        <w:t>Includes c</w:t>
      </w:r>
      <w:r>
        <w:rPr>
          <w:rFonts w:ascii="Helvetica;sans-serif" w:hAnsi="Helvetica;sans-serif"/>
          <w:b w:val="false"/>
          <w:color w:val="000000"/>
          <w:sz w:val="16"/>
        </w:rPr>
        <w:t>ash and cas</w:t>
      </w:r>
      <w:r>
        <w:rPr>
          <w:rFonts w:ascii="Helvetica;sans-serif" w:hAnsi="Helvetica;sans-serif"/>
          <w:b w:val="false"/>
          <w:color w:val="000000"/>
          <w:sz w:val="16"/>
          <w:shd w:fill="FFFFFF" w:val="clear"/>
        </w:rPr>
        <w:t>h equivalents, restricted cash, segregated cash, cash equivalents, and securities under federal and other regulations, deposits with clearing organizations, and investments.</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 xml:space="preserve">(2) </w:t>
      </w:r>
      <w:r>
        <w:rPr>
          <w:rFonts w:ascii="Helvetica;sans-serif" w:hAnsi="Helvetica;sans-serif"/>
          <w:b w:val="false"/>
          <w:color w:val="000000"/>
          <w:sz w:val="16"/>
          <w:shd w:fill="FFFFFF" w:val="clear"/>
        </w:rPr>
        <w:t>Credit card, net consists of i) an off-balance sheet amount representing customer principal amounts funded by Coastal Bank under the Program Agreement. Under the Program Agreement, Robinhood Credit collects interest from customers that carry a balance and pays interest on the amount funded by Coastal Bank, with the difference b</w:t>
      </w:r>
      <w:r>
        <w:rPr>
          <w:rFonts w:ascii="Helvetica;sans-serif" w:hAnsi="Helvetica;sans-serif"/>
          <w:b w:val="false"/>
          <w:color w:val="000000"/>
          <w:sz w:val="16"/>
        </w:rPr>
        <w:t xml:space="preserve">etween those amounts resulting in net interest revenue and ii) an on-balance sheet amount representing purchased credit card receivables by the Trust. Robinhood Credit collects interest from customers that carry balances and pays interest on the amount funded through the Trust, with the difference in those amounts resulting in net interest revenues. As of June 30, 2026, the off-balance sheet amount funded under the Program agreement was $214 million and the on-balance sheet amount was $1,243 million. Refer to Note 11 - Financing Activities and Off-Balance Sheet Risk to our unaudited condensed consolidated financial statements in this Quarterly Report for more information. </w:t>
      </w:r>
    </w:p>
    <w:p>
      <w:pPr>
        <w:pStyle w:val="TextBody"/>
        <w:bidi w:val="0"/>
        <w:spacing w:lineRule="auto" w:line="288" w:before="0" w:after="0"/>
        <w:ind w:left="0" w:right="0" w:hanging="180"/>
        <w:jc w:val="both"/>
        <w:rPr/>
      </w:pPr>
      <w:r>
        <w:rPr>
          <w:rFonts w:ascii="Helvetica;sans-serif" w:hAnsi="Helvetica;sans-serif"/>
          <w:b w:val="false"/>
          <w:color w:val="000000"/>
          <w:sz w:val="10"/>
        </w:rPr>
        <w:t>(3)</w:t>
      </w:r>
      <w:r>
        <w:rPr>
          <w:color w:val="000000"/>
        </w:rPr>
        <w:t xml:space="preserve"> </w:t>
      </w:r>
      <w:r>
        <w:rPr>
          <w:rFonts w:ascii="Helvetica;sans-serif" w:hAnsi="Helvetica;sans-serif"/>
          <w:b w:val="false"/>
          <w:color w:val="000000"/>
          <w:sz w:val="16"/>
        </w:rPr>
        <w:t>Average balance rows represent the simple average of month-end balances in a given period.</w:t>
      </w:r>
    </w:p>
    <w:p>
      <w:pPr>
        <w:pStyle w:val="TextBody"/>
        <w:bidi w:val="0"/>
        <w:spacing w:lineRule="auto" w:line="288" w:before="0" w:after="0"/>
        <w:ind w:left="0" w:right="0" w:hanging="180"/>
        <w:jc w:val="both"/>
        <w:rPr/>
      </w:pPr>
      <w:r>
        <w:rPr>
          <w:rFonts w:ascii="Helvetica;sans-serif" w:hAnsi="Helvetica;sans-serif"/>
          <w:b w:val="false"/>
          <w:color w:val="000000"/>
          <w:sz w:val="10"/>
        </w:rPr>
        <w:t>(4)</w:t>
      </w:r>
      <w:r>
        <w:rPr>
          <w:color w:val="000000"/>
        </w:rPr>
        <w:t xml:space="preserve"> </w:t>
      </w:r>
      <w:r>
        <w:rPr>
          <w:rFonts w:ascii="Helvetica;sans-serif" w:hAnsi="Helvetica;sans-serif"/>
          <w:b w:val="false"/>
          <w:color w:val="000000"/>
          <w:sz w:val="16"/>
        </w:rPr>
        <w:t xml:space="preserve">Annualized yield is calculated by annualizing revenue for the given period and dividing by the applicable average asset balance. </w:t>
      </w:r>
    </w:p>
    <w:p>
      <w:pPr>
        <w:pStyle w:val="TextBody"/>
        <w:bidi w:val="0"/>
        <w:spacing w:lineRule="auto" w:line="288" w:before="0" w:after="0"/>
        <w:ind w:left="0" w:right="0" w:hanging="180"/>
        <w:jc w:val="both"/>
        <w:rPr/>
      </w:pPr>
      <w:r>
        <w:rPr>
          <w:rFonts w:ascii="Helvetica;sans-serif" w:hAnsi="Helvetica;sans-serif"/>
          <w:b w:val="false"/>
          <w:color w:val="000000"/>
          <w:sz w:val="10"/>
        </w:rPr>
        <w:t xml:space="preserve">(5) </w:t>
      </w:r>
      <w:r>
        <w:rPr>
          <w:rFonts w:ascii="Helvetica;sans-serif" w:hAnsi="Helvetica;sans-serif"/>
          <w:b w:val="false"/>
          <w:color w:val="000000"/>
          <w:sz w:val="16"/>
        </w:rPr>
        <w:t>Includes interest expenses related to our revolving credit facilities; interest expense related to the Trust is included in the credit card, net interest yield calculation. Refer to Note 11 - Financing Activities and Off-Balance Sheet Risk to</w:t>
      </w:r>
      <w:r>
        <w:rPr>
          <w:color w:val="000000"/>
          <w:shd w:fill="FFFFFF" w:val="clear"/>
        </w:rPr>
        <w:t xml:space="preserve"> </w:t>
      </w:r>
      <w:r>
        <w:rPr>
          <w:rFonts w:ascii="Helvetica;sans-serif" w:hAnsi="Helvetica;sans-serif"/>
          <w:b w:val="false"/>
          <w:color w:val="000000"/>
          <w:sz w:val="16"/>
          <w:shd w:fill="FFFFFF" w:val="clear"/>
        </w:rPr>
        <w:t xml:space="preserve">our unaudited condensed consolidated financial statements in this Quarterly Report for more information. </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48310"/>
                <wp:effectExtent l="0" t="0" r="0" b="0"/>
                <wp:wrapNone/>
                <wp:docPr id="61" name="Frame6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Other Revenues</w:t>
      </w:r>
    </w:p>
    <w:tbl>
      <w:tblPr>
        <w:tblW w:w="10205" w:type="dxa"/>
        <w:jc w:val="left"/>
        <w:tblInd w:w="0" w:type="dxa"/>
        <w:tblLayout w:type="fixed"/>
        <w:tblCellMar>
          <w:top w:w="28" w:type="dxa"/>
          <w:left w:w="28" w:type="dxa"/>
          <w:bottom w:w="28" w:type="dxa"/>
          <w:right w:w="28" w:type="dxa"/>
        </w:tblCellMar>
      </w:tblPr>
      <w:tblGrid>
        <w:gridCol w:w="1364"/>
        <w:gridCol w:w="1200"/>
        <w:gridCol w:w="1202"/>
        <w:gridCol w:w="237"/>
        <w:gridCol w:w="122"/>
        <w:gridCol w:w="322"/>
        <w:gridCol w:w="122"/>
        <w:gridCol w:w="122"/>
        <w:gridCol w:w="122"/>
        <w:gridCol w:w="239"/>
        <w:gridCol w:w="140"/>
        <w:gridCol w:w="323"/>
        <w:gridCol w:w="109"/>
        <w:gridCol w:w="109"/>
        <w:gridCol w:w="109"/>
        <w:gridCol w:w="240"/>
        <w:gridCol w:w="241"/>
        <w:gridCol w:w="520"/>
        <w:gridCol w:w="109"/>
        <w:gridCol w:w="109"/>
        <w:gridCol w:w="109"/>
        <w:gridCol w:w="211"/>
        <w:gridCol w:w="116"/>
        <w:gridCol w:w="305"/>
        <w:gridCol w:w="109"/>
        <w:gridCol w:w="109"/>
        <w:gridCol w:w="109"/>
        <w:gridCol w:w="242"/>
        <w:gridCol w:w="134"/>
        <w:gridCol w:w="305"/>
        <w:gridCol w:w="109"/>
        <w:gridCol w:w="109"/>
        <w:gridCol w:w="109"/>
        <w:gridCol w:w="240"/>
        <w:gridCol w:w="241"/>
        <w:gridCol w:w="587"/>
      </w:tblGrid>
      <w:tr>
        <w:trPr/>
        <w:tc>
          <w:tcPr>
            <w:tcW w:w="136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Gold subscription revenues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Proxy revenues</w:t>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other revenues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 revenues as a % of total net revenues:</w:t>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Gold subscription revenues</w:t>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Proxy revenues</w:t>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 as a % of total net revenues</w:t>
            </w:r>
          </w:p>
        </w:tc>
        <w:tc>
          <w:tcPr>
            <w:tcW w:w="3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270"/>
        <w:jc w:val="both"/>
        <w:rPr>
          <w:rFonts w:ascii="Helvetica;sans-serif" w:hAnsi="Helvetica;sans-serif"/>
          <w:b w:val="false"/>
          <w:color w:val="000000"/>
          <w:sz w:val="20"/>
        </w:rPr>
      </w:pPr>
      <w:r>
        <w:rPr>
          <w:rFonts w:ascii="Helvetica;sans-serif" w:hAnsi="Helvetica;sans-serif"/>
          <w:b w:val="false"/>
          <w:color w:val="000000"/>
          <w:sz w:val="20"/>
        </w:rPr>
        <w:t>Other revenues increased $50 million and $81 million for the three and six months ended June 30, 2026, primarily driven by increases in Robinhood Gold subscription revenues due to growth in Robinhood Gold Subscribers, service revenues earned from Trump Accounts, and revenues earned from coin listings.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Operating Expenses</w:t>
      </w:r>
    </w:p>
    <w:tbl>
      <w:tblPr>
        <w:tblW w:w="9755" w:type="dxa"/>
        <w:jc w:val="left"/>
        <w:tblInd w:w="0" w:type="dxa"/>
        <w:tblLayout w:type="fixed"/>
        <w:tblCellMar>
          <w:top w:w="28" w:type="dxa"/>
          <w:left w:w="28" w:type="dxa"/>
          <w:bottom w:w="28" w:type="dxa"/>
          <w:right w:w="28" w:type="dxa"/>
        </w:tblCellMar>
      </w:tblPr>
      <w:tblGrid>
        <w:gridCol w:w="983"/>
        <w:gridCol w:w="865"/>
        <w:gridCol w:w="867"/>
        <w:gridCol w:w="312"/>
        <w:gridCol w:w="214"/>
        <w:gridCol w:w="207"/>
        <w:gridCol w:w="161"/>
        <w:gridCol w:w="161"/>
        <w:gridCol w:w="161"/>
        <w:gridCol w:w="312"/>
        <w:gridCol w:w="214"/>
        <w:gridCol w:w="207"/>
        <w:gridCol w:w="109"/>
        <w:gridCol w:w="109"/>
        <w:gridCol w:w="109"/>
        <w:gridCol w:w="240"/>
        <w:gridCol w:w="241"/>
        <w:gridCol w:w="520"/>
        <w:gridCol w:w="109"/>
        <w:gridCol w:w="109"/>
        <w:gridCol w:w="109"/>
        <w:gridCol w:w="275"/>
        <w:gridCol w:w="293"/>
        <w:gridCol w:w="293"/>
        <w:gridCol w:w="142"/>
        <w:gridCol w:w="142"/>
        <w:gridCol w:w="142"/>
        <w:gridCol w:w="275"/>
        <w:gridCol w:w="292"/>
        <w:gridCol w:w="294"/>
        <w:gridCol w:w="109"/>
        <w:gridCol w:w="109"/>
        <w:gridCol w:w="109"/>
        <w:gridCol w:w="190"/>
        <w:gridCol w:w="190"/>
        <w:gridCol w:w="581"/>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48310"/>
                <wp:effectExtent l="0" t="0" r="0" b="0"/>
                <wp:wrapNone/>
                <wp:docPr id="62" name="Frame6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Brokerage and Transaction </w:t>
      </w:r>
    </w:p>
    <w:tbl>
      <w:tblPr>
        <w:tblW w:w="10205" w:type="dxa"/>
        <w:jc w:val="left"/>
        <w:tblInd w:w="0" w:type="dxa"/>
        <w:tblLayout w:type="fixed"/>
        <w:tblCellMar>
          <w:top w:w="28" w:type="dxa"/>
          <w:left w:w="28" w:type="dxa"/>
          <w:bottom w:w="28" w:type="dxa"/>
          <w:right w:w="28" w:type="dxa"/>
        </w:tblCellMar>
      </w:tblPr>
      <w:tblGrid>
        <w:gridCol w:w="1475"/>
        <w:gridCol w:w="1293"/>
        <w:gridCol w:w="1308"/>
        <w:gridCol w:w="237"/>
        <w:gridCol w:w="122"/>
        <w:gridCol w:w="322"/>
        <w:gridCol w:w="122"/>
        <w:gridCol w:w="122"/>
        <w:gridCol w:w="122"/>
        <w:gridCol w:w="237"/>
        <w:gridCol w:w="122"/>
        <w:gridCol w:w="322"/>
        <w:gridCol w:w="109"/>
        <w:gridCol w:w="109"/>
        <w:gridCol w:w="109"/>
        <w:gridCol w:w="305"/>
        <w:gridCol w:w="305"/>
        <w:gridCol w:w="306"/>
        <w:gridCol w:w="109"/>
        <w:gridCol w:w="109"/>
        <w:gridCol w:w="109"/>
        <w:gridCol w:w="211"/>
        <w:gridCol w:w="109"/>
        <w:gridCol w:w="286"/>
        <w:gridCol w:w="109"/>
        <w:gridCol w:w="109"/>
        <w:gridCol w:w="109"/>
        <w:gridCol w:w="211"/>
        <w:gridCol w:w="116"/>
        <w:gridCol w:w="305"/>
        <w:gridCol w:w="109"/>
        <w:gridCol w:w="109"/>
        <w:gridCol w:w="109"/>
        <w:gridCol w:w="272"/>
        <w:gridCol w:w="272"/>
        <w:gridCol w:w="395"/>
      </w:tblGrid>
      <w:tr>
        <w:trPr/>
        <w:tc>
          <w:tcPr>
            <w:tcW w:w="1475"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22%</w:t>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 data expenses</w:t>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Instant withdrawals</w:t>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27%</w:t>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Percent of total net revenues:</w:t>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Brokerage and transaction costs increased by $14 million and $24 million for the three and six months ended June 30, 2026, primarily due to a $5 million and $7 million increase in market data expense driven by an increase in customer volume. In addition, employee compensation, benefits, and overhead expenses increased $2 million and $6 million due to the growth and expansion of our business. Other brokerage and transactions costs increased $3 million and $7 million primarily related to increases in credit card processing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Technology and Development</w:t>
      </w:r>
    </w:p>
    <w:tbl>
      <w:tblPr>
        <w:tblW w:w="10205" w:type="dxa"/>
        <w:jc w:val="left"/>
        <w:tblInd w:w="0" w:type="dxa"/>
        <w:tblLayout w:type="fixed"/>
        <w:tblCellMar>
          <w:top w:w="28" w:type="dxa"/>
          <w:left w:w="28" w:type="dxa"/>
          <w:bottom w:w="28" w:type="dxa"/>
          <w:right w:w="28" w:type="dxa"/>
        </w:tblCellMar>
      </w:tblPr>
      <w:tblGrid>
        <w:gridCol w:w="1417"/>
        <w:gridCol w:w="1243"/>
        <w:gridCol w:w="1257"/>
        <w:gridCol w:w="239"/>
        <w:gridCol w:w="140"/>
        <w:gridCol w:w="321"/>
        <w:gridCol w:w="121"/>
        <w:gridCol w:w="121"/>
        <w:gridCol w:w="121"/>
        <w:gridCol w:w="239"/>
        <w:gridCol w:w="140"/>
        <w:gridCol w:w="321"/>
        <w:gridCol w:w="109"/>
        <w:gridCol w:w="109"/>
        <w:gridCol w:w="109"/>
        <w:gridCol w:w="198"/>
        <w:gridCol w:w="198"/>
        <w:gridCol w:w="520"/>
        <w:gridCol w:w="109"/>
        <w:gridCol w:w="109"/>
        <w:gridCol w:w="109"/>
        <w:gridCol w:w="242"/>
        <w:gridCol w:w="134"/>
        <w:gridCol w:w="305"/>
        <w:gridCol w:w="109"/>
        <w:gridCol w:w="109"/>
        <w:gridCol w:w="109"/>
        <w:gridCol w:w="242"/>
        <w:gridCol w:w="134"/>
        <w:gridCol w:w="305"/>
        <w:gridCol w:w="109"/>
        <w:gridCol w:w="109"/>
        <w:gridCol w:w="109"/>
        <w:gridCol w:w="190"/>
        <w:gridCol w:w="189"/>
        <w:gridCol w:w="560"/>
      </w:tblGrid>
      <w:tr>
        <w:trPr/>
        <w:tc>
          <w:tcPr>
            <w:tcW w:w="14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Cloud infrastructure services</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Software and tools</w:t>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Percent of total net revenues:</w:t>
            </w:r>
          </w:p>
        </w:tc>
        <w:tc>
          <w:tcPr>
            <w:tcW w:w="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Technology and development costs increased by $42 million and $69 million for the three and six months ended June 30, 2026, primarily due to a $30 million and $38 million increase in employee compensation, benefits, and overhead expenses driven by recent acquisitions and the launch of new products. Additionally, software and tools expenses increased by $12 million and $25 million driven by continued growth of our business and the integration of acquired businesses. </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48310"/>
                <wp:effectExtent l="0" t="0" r="0" b="0"/>
                <wp:wrapNone/>
                <wp:docPr id="63" name="Frame6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Operations</w:t>
      </w:r>
    </w:p>
    <w:tbl>
      <w:tblPr>
        <w:tblW w:w="10205" w:type="dxa"/>
        <w:jc w:val="left"/>
        <w:tblInd w:w="0" w:type="dxa"/>
        <w:tblLayout w:type="fixed"/>
        <w:tblCellMar>
          <w:top w:w="28" w:type="dxa"/>
          <w:left w:w="28" w:type="dxa"/>
          <w:bottom w:w="28" w:type="dxa"/>
          <w:right w:w="28" w:type="dxa"/>
        </w:tblCellMar>
      </w:tblPr>
      <w:tblGrid>
        <w:gridCol w:w="1470"/>
        <w:gridCol w:w="1290"/>
        <w:gridCol w:w="1305"/>
        <w:gridCol w:w="237"/>
        <w:gridCol w:w="122"/>
        <w:gridCol w:w="321"/>
        <w:gridCol w:w="122"/>
        <w:gridCol w:w="122"/>
        <w:gridCol w:w="122"/>
        <w:gridCol w:w="237"/>
        <w:gridCol w:w="122"/>
        <w:gridCol w:w="321"/>
        <w:gridCol w:w="109"/>
        <w:gridCol w:w="109"/>
        <w:gridCol w:w="109"/>
        <w:gridCol w:w="317"/>
        <w:gridCol w:w="317"/>
        <w:gridCol w:w="319"/>
        <w:gridCol w:w="109"/>
        <w:gridCol w:w="109"/>
        <w:gridCol w:w="109"/>
        <w:gridCol w:w="211"/>
        <w:gridCol w:w="109"/>
        <w:gridCol w:w="286"/>
        <w:gridCol w:w="109"/>
        <w:gridCol w:w="109"/>
        <w:gridCol w:w="109"/>
        <w:gridCol w:w="211"/>
        <w:gridCol w:w="109"/>
        <w:gridCol w:w="286"/>
        <w:gridCol w:w="109"/>
        <w:gridCol w:w="109"/>
        <w:gridCol w:w="109"/>
        <w:gridCol w:w="272"/>
        <w:gridCol w:w="272"/>
        <w:gridCol w:w="397"/>
      </w:tblGrid>
      <w:tr>
        <w:trPr/>
        <w:tc>
          <w:tcPr>
            <w:tcW w:w="147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experience</w:t>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Percent of total net revenues:</w:t>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costs increased by $28 million and $35 million for the three and six months ended June 30, 2026, primarily due to a $13 million and $14 million increase in customer experience costs to support Trump Accounts. Employee compensation, benefits, and overhead increased by $11 million and $15 million driven by the increased growth and expansion of our business. Additionally, other operations expense increased by $4 million and $6 million driven by the increase in transaction volume.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Provision for credit losses </w:t>
      </w:r>
    </w:p>
    <w:tbl>
      <w:tblPr>
        <w:tblW w:w="10205" w:type="dxa"/>
        <w:jc w:val="left"/>
        <w:tblInd w:w="0" w:type="dxa"/>
        <w:tblLayout w:type="fixed"/>
        <w:tblCellMar>
          <w:top w:w="28" w:type="dxa"/>
          <w:left w:w="28" w:type="dxa"/>
          <w:bottom w:w="28" w:type="dxa"/>
          <w:right w:w="28" w:type="dxa"/>
        </w:tblCellMar>
      </w:tblPr>
      <w:tblGrid>
        <w:gridCol w:w="1473"/>
        <w:gridCol w:w="1287"/>
        <w:gridCol w:w="1304"/>
        <w:gridCol w:w="239"/>
        <w:gridCol w:w="123"/>
        <w:gridCol w:w="325"/>
        <w:gridCol w:w="123"/>
        <w:gridCol w:w="123"/>
        <w:gridCol w:w="123"/>
        <w:gridCol w:w="239"/>
        <w:gridCol w:w="123"/>
        <w:gridCol w:w="325"/>
        <w:gridCol w:w="109"/>
        <w:gridCol w:w="109"/>
        <w:gridCol w:w="109"/>
        <w:gridCol w:w="305"/>
        <w:gridCol w:w="305"/>
        <w:gridCol w:w="306"/>
        <w:gridCol w:w="109"/>
        <w:gridCol w:w="109"/>
        <w:gridCol w:w="109"/>
        <w:gridCol w:w="211"/>
        <w:gridCol w:w="109"/>
        <w:gridCol w:w="286"/>
        <w:gridCol w:w="109"/>
        <w:gridCol w:w="109"/>
        <w:gridCol w:w="109"/>
        <w:gridCol w:w="211"/>
        <w:gridCol w:w="109"/>
        <w:gridCol w:w="286"/>
        <w:gridCol w:w="109"/>
        <w:gridCol w:w="109"/>
        <w:gridCol w:w="109"/>
        <w:gridCol w:w="278"/>
        <w:gridCol w:w="278"/>
        <w:gridCol w:w="406"/>
      </w:tblGrid>
      <w:tr>
        <w:trPr/>
        <w:tc>
          <w:tcPr>
            <w:tcW w:w="147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 - credit card related</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156%</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 - brokerage related</w:t>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Percent of total net revenues:</w:t>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Provision for credit losses increased by </w:t>
      </w:r>
      <w:r>
        <w:rPr>
          <w:rFonts w:ascii="Helvetica;sans-serif" w:hAnsi="Helvetica;sans-serif"/>
          <w:b w:val="false"/>
          <w:color w:val="000000"/>
          <w:sz w:val="20"/>
          <w:shd w:fill="FFFFFF" w:val="clear"/>
        </w:rPr>
        <w:t>$28 million</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$40 million</w:t>
      </w:r>
      <w:r>
        <w:rPr>
          <w:color w:val="000000"/>
        </w:rPr>
        <w:t xml:space="preserve"> </w:t>
      </w:r>
      <w:r>
        <w:rPr>
          <w:rFonts w:ascii="Helvetica;sans-serif" w:hAnsi="Helvetica;sans-serif"/>
          <w:b w:val="false"/>
          <w:color w:val="000000"/>
          <w:sz w:val="20"/>
        </w:rPr>
        <w:t xml:space="preserve">for the three and six months ended June 30, 2026, </w:t>
      </w:r>
      <w:r>
        <w:rPr>
          <w:rFonts w:ascii="Helvetica;sans-serif" w:hAnsi="Helvetica;sans-serif"/>
          <w:b w:val="false"/>
          <w:color w:val="000000"/>
          <w:sz w:val="20"/>
          <w:shd w:fill="FFFFFF" w:val="clear"/>
        </w:rPr>
        <w:t>primarily due to a $32 million</w:t>
      </w:r>
      <w:r>
        <w:rPr>
          <w:color w:val="000000"/>
        </w:rPr>
        <w:t xml:space="preserve"> </w:t>
      </w:r>
      <w:r>
        <w:rPr>
          <w:rFonts w:ascii="Helvetica;sans-serif" w:hAnsi="Helvetica;sans-serif"/>
          <w:b w:val="false"/>
          <w:color w:val="000000"/>
          <w:sz w:val="20"/>
        </w:rPr>
        <w:t>and</w:t>
      </w:r>
      <w:r>
        <w:rPr>
          <w:color w:val="000000"/>
          <w:shd w:fill="FFFFFF" w:val="clear"/>
        </w:rPr>
        <w:t xml:space="preserve"> </w:t>
      </w:r>
      <w:r>
        <w:rPr>
          <w:rFonts w:ascii="Helvetica;sans-serif" w:hAnsi="Helvetica;sans-serif"/>
          <w:b w:val="false"/>
          <w:color w:val="000000"/>
          <w:sz w:val="20"/>
          <w:shd w:fill="FFFFFF" w:val="clear"/>
        </w:rPr>
        <w:t xml:space="preserve">$50 million </w:t>
      </w:r>
      <w:r>
        <w:rPr>
          <w:rFonts w:ascii="Helvetica;sans-serif" w:hAnsi="Helvetica;sans-serif"/>
          <w:b w:val="false"/>
          <w:color w:val="000000"/>
          <w:sz w:val="20"/>
        </w:rPr>
        <w:t>increase</w:t>
      </w:r>
      <w:r>
        <w:rPr>
          <w:color w:val="000000"/>
          <w:shd w:fill="FFFFFF" w:val="clear"/>
        </w:rPr>
        <w:t xml:space="preserve"> </w:t>
      </w:r>
      <w:r>
        <w:rPr>
          <w:rFonts w:ascii="Helvetica;sans-serif" w:hAnsi="Helvetica;sans-serif"/>
          <w:b w:val="false"/>
          <w:color w:val="000000"/>
          <w:sz w:val="20"/>
          <w:shd w:fill="FFFFFF" w:val="clear"/>
        </w:rPr>
        <w:t xml:space="preserve">in credit card-related provision for credit losses driven by higher balances of purchased credit card receivables consistent with the growth of our credit card business, partially offset by a decrease in reserve rates, benefitting from improved recovery rates. In addition, brokerage related provision for credit losses </w:t>
      </w:r>
      <w:r>
        <w:rPr>
          <w:rFonts w:ascii="Helvetica;sans-serif" w:hAnsi="Helvetica;sans-serif"/>
          <w:b w:val="false"/>
          <w:color w:val="000000"/>
          <w:sz w:val="20"/>
        </w:rPr>
        <w:t>decreased by</w:t>
      </w:r>
      <w:r>
        <w:rPr>
          <w:color w:val="000000"/>
          <w:shd w:fill="FFFFFF" w:val="clear"/>
        </w:rPr>
        <w:t xml:space="preserve"> </w:t>
      </w:r>
      <w:r>
        <w:rPr>
          <w:rFonts w:ascii="Helvetica;sans-serif" w:hAnsi="Helvetica;sans-serif"/>
          <w:b w:val="false"/>
          <w:color w:val="000000"/>
          <w:sz w:val="20"/>
          <w:shd w:fill="FFFFFF" w:val="clear"/>
        </w:rPr>
        <w:t>$4 million</w:t>
      </w:r>
      <w:r>
        <w:rPr>
          <w:color w:val="000000"/>
        </w:rPr>
        <w:t xml:space="preserve"> </w:t>
      </w:r>
      <w:r>
        <w:rPr>
          <w:rFonts w:ascii="Helvetica;sans-serif" w:hAnsi="Helvetica;sans-serif"/>
          <w:b w:val="false"/>
          <w:color w:val="000000"/>
          <w:sz w:val="20"/>
        </w:rPr>
        <w:t>and</w:t>
      </w:r>
      <w:r>
        <w:rPr>
          <w:color w:val="000000"/>
          <w:shd w:fill="FFFFFF" w:val="clear"/>
        </w:rPr>
        <w:t xml:space="preserve"> </w:t>
      </w:r>
      <w:r>
        <w:rPr>
          <w:rFonts w:ascii="Helvetica;sans-serif" w:hAnsi="Helvetica;sans-serif"/>
          <w:b w:val="false"/>
          <w:color w:val="000000"/>
          <w:sz w:val="20"/>
          <w:shd w:fill="FFFFFF" w:val="clear"/>
        </w:rPr>
        <w:t>$10 million due to decreased fraud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Marketing</w:t>
      </w:r>
    </w:p>
    <w:tbl>
      <w:tblPr>
        <w:tblW w:w="10205" w:type="dxa"/>
        <w:jc w:val="left"/>
        <w:tblInd w:w="0" w:type="dxa"/>
        <w:tblLayout w:type="fixed"/>
        <w:tblCellMar>
          <w:top w:w="28" w:type="dxa"/>
          <w:left w:w="28" w:type="dxa"/>
          <w:bottom w:w="28" w:type="dxa"/>
          <w:right w:w="28" w:type="dxa"/>
        </w:tblCellMar>
      </w:tblPr>
      <w:tblGrid>
        <w:gridCol w:w="1427"/>
        <w:gridCol w:w="1244"/>
        <w:gridCol w:w="1238"/>
        <w:gridCol w:w="247"/>
        <w:gridCol w:w="129"/>
        <w:gridCol w:w="319"/>
        <w:gridCol w:w="121"/>
        <w:gridCol w:w="121"/>
        <w:gridCol w:w="121"/>
        <w:gridCol w:w="235"/>
        <w:gridCol w:w="124"/>
        <w:gridCol w:w="321"/>
        <w:gridCol w:w="109"/>
        <w:gridCol w:w="109"/>
        <w:gridCol w:w="109"/>
        <w:gridCol w:w="214"/>
        <w:gridCol w:w="214"/>
        <w:gridCol w:w="520"/>
        <w:gridCol w:w="109"/>
        <w:gridCol w:w="109"/>
        <w:gridCol w:w="109"/>
        <w:gridCol w:w="242"/>
        <w:gridCol w:w="134"/>
        <w:gridCol w:w="305"/>
        <w:gridCol w:w="109"/>
        <w:gridCol w:w="109"/>
        <w:gridCol w:w="109"/>
        <w:gridCol w:w="211"/>
        <w:gridCol w:w="116"/>
        <w:gridCol w:w="305"/>
        <w:gridCol w:w="109"/>
        <w:gridCol w:w="109"/>
        <w:gridCol w:w="109"/>
        <w:gridCol w:w="213"/>
        <w:gridCol w:w="213"/>
        <w:gridCol w:w="563"/>
      </w:tblGrid>
      <w:tr>
        <w:trPr/>
        <w:tc>
          <w:tcPr>
            <w:tcW w:w="14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Digital marketing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Brand marketing</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Percent of total net revenues:</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48310"/>
                <wp:effectExtent l="0" t="0" r="0" b="0"/>
                <wp:wrapNone/>
                <wp:docPr id="64" name="Frame6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firstLine="360"/>
        <w:jc w:val="both"/>
        <w:rPr/>
      </w:pPr>
      <w:r>
        <w:rPr>
          <w:rFonts w:ascii="Helvetica;sans-serif" w:hAnsi="Helvetica;sans-serif"/>
          <w:b w:val="false"/>
          <w:color w:val="000000"/>
          <w:sz w:val="20"/>
          <w:shd w:fill="FFFFFF" w:val="clear"/>
        </w:rPr>
        <w:t xml:space="preserve">Marketing costs </w:t>
      </w:r>
      <w:r>
        <w:rPr>
          <w:rFonts w:ascii="Helvetica;sans-serif" w:hAnsi="Helvetica;sans-serif"/>
          <w:b w:val="false"/>
          <w:color w:val="000000"/>
          <w:sz w:val="20"/>
        </w:rPr>
        <w:t>increased</w:t>
      </w:r>
      <w:r>
        <w:rPr>
          <w:color w:val="000000"/>
          <w:shd w:fill="FFFFFF" w:val="clear"/>
        </w:rPr>
        <w:t xml:space="preserve"> </w:t>
      </w:r>
      <w:r>
        <w:rPr>
          <w:rFonts w:ascii="Helvetica;sans-serif" w:hAnsi="Helvetica;sans-serif"/>
          <w:b w:val="false"/>
          <w:color w:val="000000"/>
          <w:sz w:val="20"/>
          <w:shd w:fill="FFFFFF" w:val="clear"/>
        </w:rPr>
        <w:t>by $5 million</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 xml:space="preserve">$7 million </w:t>
      </w:r>
      <w:r>
        <w:rPr>
          <w:rFonts w:ascii="Helvetica;sans-serif" w:hAnsi="Helvetica;sans-serif"/>
          <w:b w:val="false"/>
          <w:color w:val="000000"/>
          <w:sz w:val="20"/>
        </w:rPr>
        <w:t>for the three and six months ended June 30, 2026 primarily due to an increase in marketing expenses related to our prediction markets and credit card offerings, offset by an decrease in brand marketing expenses due to lower campaign spend compared to the same periods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1355"/>
        <w:gridCol w:w="1188"/>
        <w:gridCol w:w="1202"/>
        <w:gridCol w:w="239"/>
        <w:gridCol w:w="140"/>
        <w:gridCol w:w="319"/>
        <w:gridCol w:w="120"/>
        <w:gridCol w:w="120"/>
        <w:gridCol w:w="120"/>
        <w:gridCol w:w="239"/>
        <w:gridCol w:w="140"/>
        <w:gridCol w:w="319"/>
        <w:gridCol w:w="109"/>
        <w:gridCol w:w="109"/>
        <w:gridCol w:w="109"/>
        <w:gridCol w:w="240"/>
        <w:gridCol w:w="241"/>
        <w:gridCol w:w="520"/>
        <w:gridCol w:w="109"/>
        <w:gridCol w:w="109"/>
        <w:gridCol w:w="109"/>
        <w:gridCol w:w="242"/>
        <w:gridCol w:w="134"/>
        <w:gridCol w:w="305"/>
        <w:gridCol w:w="109"/>
        <w:gridCol w:w="109"/>
        <w:gridCol w:w="109"/>
        <w:gridCol w:w="242"/>
        <w:gridCol w:w="134"/>
        <w:gridCol w:w="305"/>
        <w:gridCol w:w="109"/>
        <w:gridCol w:w="109"/>
        <w:gridCol w:w="109"/>
        <w:gridCol w:w="243"/>
        <w:gridCol w:w="238"/>
        <w:gridCol w:w="552"/>
      </w:tblGrid>
      <w:tr>
        <w:trPr/>
        <w:tc>
          <w:tcPr>
            <w:tcW w:w="135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3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Legal expenses</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professional fees</w:t>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Percent of total net revenues:</w:t>
            </w:r>
          </w:p>
        </w:tc>
        <w:tc>
          <w:tcPr>
            <w:tcW w:w="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Helvetica;sans-serif" w:hAnsi="Helvetica;sans-serif"/>
          <w:b w:val="false"/>
          <w:color w:val="000000"/>
          <w:sz w:val="20"/>
          <w:shd w:fill="FFFFFF" w:val="clear"/>
        </w:rPr>
        <w:t xml:space="preserve">General and administrative costs </w:t>
      </w:r>
      <w:r>
        <w:rPr>
          <w:rFonts w:ascii="Helvetica;sans-serif" w:hAnsi="Helvetica;sans-serif"/>
          <w:b w:val="false"/>
          <w:color w:val="000000"/>
          <w:sz w:val="20"/>
        </w:rPr>
        <w:t>increased</w:t>
      </w:r>
      <w:r>
        <w:rPr>
          <w:color w:val="000000"/>
          <w:shd w:fill="FFFFFF" w:val="clear"/>
        </w:rPr>
        <w:t xml:space="preserve"> </w:t>
      </w:r>
      <w:r>
        <w:rPr>
          <w:rFonts w:ascii="Helvetica;sans-serif" w:hAnsi="Helvetica;sans-serif"/>
          <w:b w:val="false"/>
          <w:color w:val="000000"/>
          <w:sz w:val="20"/>
          <w:shd w:fill="FFFFFF" w:val="clear"/>
        </w:rPr>
        <w:t>by $67 million</w:t>
      </w:r>
      <w:r>
        <w:rPr>
          <w:color w:val="000000"/>
        </w:rPr>
        <w:t xml:space="preserve"> </w:t>
      </w:r>
      <w:r>
        <w:rPr>
          <w:rFonts w:ascii="Helvetica;sans-serif" w:hAnsi="Helvetica;sans-serif"/>
          <w:b w:val="false"/>
          <w:color w:val="000000"/>
          <w:sz w:val="20"/>
        </w:rPr>
        <w:t>and</w:t>
      </w:r>
      <w:r>
        <w:rPr>
          <w:color w:val="000000"/>
          <w:shd w:fill="FFFFFF" w:val="clear"/>
        </w:rPr>
        <w:t xml:space="preserve"> </w:t>
      </w:r>
      <w:r>
        <w:rPr>
          <w:rFonts w:ascii="Helvetica;sans-serif" w:hAnsi="Helvetica;sans-serif"/>
          <w:b w:val="false"/>
          <w:color w:val="000000"/>
          <w:sz w:val="20"/>
          <w:shd w:fill="FFFFFF" w:val="clear"/>
        </w:rPr>
        <w:t>$108 million</w:t>
      </w:r>
      <w:r>
        <w:rPr>
          <w:color w:val="000000"/>
        </w:rPr>
        <w:t xml:space="preserve"> </w:t>
      </w:r>
      <w:r>
        <w:rPr>
          <w:rFonts w:ascii="Helvetica;sans-serif" w:hAnsi="Helvetica;sans-serif"/>
          <w:b w:val="false"/>
          <w:color w:val="000000"/>
          <w:sz w:val="20"/>
        </w:rPr>
        <w:t xml:space="preserve">for the three and six months ended June 30, 2026 primarily due to a </w:t>
      </w:r>
      <w:r>
        <w:rPr>
          <w:rFonts w:ascii="Helvetica;sans-serif" w:hAnsi="Helvetica;sans-serif"/>
          <w:b w:val="false"/>
          <w:color w:val="000000"/>
          <w:sz w:val="20"/>
          <w:shd w:fill="FFFFFF" w:val="clear"/>
        </w:rPr>
        <w:t>$29 million</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$58 million</w:t>
      </w:r>
      <w:r>
        <w:rPr>
          <w:color w:val="000000"/>
        </w:rPr>
        <w:t xml:space="preserve"> </w:t>
      </w:r>
      <w:r>
        <w:rPr>
          <w:rFonts w:ascii="Helvetica;sans-serif" w:hAnsi="Helvetica;sans-serif"/>
          <w:b w:val="false"/>
          <w:color w:val="000000"/>
          <w:sz w:val="20"/>
        </w:rPr>
        <w:t xml:space="preserve">increase in employee compensation, benefits, and overhead expenses driven by increased SBC related to the modification of executive awards related to senior leadership transitions and the growth and expansion of our business. Additionally, other general and administrative expenses increased </w:t>
      </w:r>
      <w:r>
        <w:rPr>
          <w:rFonts w:ascii="Helvetica;sans-serif" w:hAnsi="Helvetica;sans-serif"/>
          <w:b w:val="false"/>
          <w:color w:val="000000"/>
          <w:sz w:val="20"/>
          <w:shd w:fill="FFFFFF" w:val="clear"/>
        </w:rPr>
        <w:t>$22 million</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$25 million</w:t>
      </w:r>
      <w:r>
        <w:rPr>
          <w:color w:val="000000"/>
        </w:rPr>
        <w:t xml:space="preserve"> </w:t>
      </w:r>
      <w:r>
        <w:rPr>
          <w:rFonts w:ascii="Helvetica;sans-serif" w:hAnsi="Helvetica;sans-serif"/>
          <w:b w:val="false"/>
          <w:color w:val="000000"/>
          <w:sz w:val="20"/>
        </w:rPr>
        <w:t xml:space="preserve">and legal expenses increased </w:t>
      </w:r>
      <w:r>
        <w:rPr>
          <w:rFonts w:ascii="Helvetica;sans-serif" w:hAnsi="Helvetica;sans-serif"/>
          <w:b w:val="false"/>
          <w:color w:val="000000"/>
          <w:sz w:val="20"/>
          <w:shd w:fill="FFFFFF" w:val="clear"/>
        </w:rPr>
        <w:t>$7 million</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$16 million</w:t>
      </w:r>
      <w:r>
        <w:rPr>
          <w:color w:val="000000"/>
        </w:rPr>
        <w:t xml:space="preserve"> </w:t>
      </w:r>
      <w:r>
        <w:rPr>
          <w:rFonts w:ascii="Helvetica;sans-serif" w:hAnsi="Helvetica;sans-serif"/>
          <w:b w:val="false"/>
          <w:color w:val="000000"/>
          <w:sz w:val="20"/>
        </w:rPr>
        <w:t xml:space="preserve">for the three and six months ended June 30, 2026 in relation to new product offerings and reserves for legal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Other income, net</w:t>
      </w:r>
    </w:p>
    <w:p>
      <w:pPr>
        <w:pStyle w:val="TextBody"/>
        <w:bidi w:val="0"/>
        <w:spacing w:lineRule="auto" w:line="288" w:before="0" w:after="0"/>
        <w:ind w:left="0" w:right="0" w:firstLine="360"/>
        <w:jc w:val="left"/>
        <w:rPr>
          <w:rFonts w:ascii="Helvetica;sans-serif" w:hAnsi="Helvetica;sans-serif"/>
          <w:b w:val="false"/>
          <w:color w:val="000000"/>
          <w:sz w:val="20"/>
        </w:rPr>
      </w:pPr>
      <w:r>
        <w:rPr>
          <w:rFonts w:ascii="Helvetica;sans-serif" w:hAnsi="Helvetica;sans-serif"/>
          <w:b w:val="false"/>
          <w:color w:val="000000"/>
          <w:sz w:val="20"/>
        </w:rPr>
      </w:r>
    </w:p>
    <w:tbl>
      <w:tblPr>
        <w:tblW w:w="8007" w:type="dxa"/>
        <w:jc w:val="left"/>
        <w:tblInd w:w="0" w:type="dxa"/>
        <w:tblLayout w:type="fixed"/>
        <w:tblCellMar>
          <w:top w:w="28" w:type="dxa"/>
          <w:left w:w="28" w:type="dxa"/>
          <w:bottom w:w="28" w:type="dxa"/>
          <w:right w:w="28" w:type="dxa"/>
        </w:tblCellMar>
      </w:tblPr>
      <w:tblGrid>
        <w:gridCol w:w="609"/>
        <w:gridCol w:w="533"/>
        <w:gridCol w:w="538"/>
        <w:gridCol w:w="215"/>
        <w:gridCol w:w="276"/>
        <w:gridCol w:w="111"/>
        <w:gridCol w:w="111"/>
        <w:gridCol w:w="111"/>
        <w:gridCol w:w="111"/>
        <w:gridCol w:w="215"/>
        <w:gridCol w:w="491"/>
        <w:gridCol w:w="111"/>
        <w:gridCol w:w="109"/>
        <w:gridCol w:w="109"/>
        <w:gridCol w:w="109"/>
        <w:gridCol w:w="305"/>
        <w:gridCol w:w="305"/>
        <w:gridCol w:w="306"/>
        <w:gridCol w:w="109"/>
        <w:gridCol w:w="109"/>
        <w:gridCol w:w="109"/>
        <w:gridCol w:w="211"/>
        <w:gridCol w:w="271"/>
        <w:gridCol w:w="109"/>
        <w:gridCol w:w="109"/>
        <w:gridCol w:w="109"/>
        <w:gridCol w:w="109"/>
        <w:gridCol w:w="211"/>
        <w:gridCol w:w="481"/>
        <w:gridCol w:w="109"/>
        <w:gridCol w:w="109"/>
        <w:gridCol w:w="109"/>
        <w:gridCol w:w="109"/>
        <w:gridCol w:w="280"/>
        <w:gridCol w:w="280"/>
        <w:gridCol w:w="399"/>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r>
    </w:tbl>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Other income, net increased by $132 million and $131 million </w:t>
      </w:r>
      <w:r>
        <w:rPr>
          <w:rFonts w:ascii="Helvetica;sans-serif" w:hAnsi="Helvetica;sans-serif"/>
          <w:b w:val="false"/>
          <w:color w:val="000000"/>
          <w:sz w:val="20"/>
          <w:shd w:fill="FFFFFF" w:val="clear"/>
        </w:rPr>
        <w:t xml:space="preserve">for the three and six months ended </w:t>
      </w:r>
      <w:r>
        <w:rPr>
          <w:rFonts w:ascii="Helvetica;sans-serif" w:hAnsi="Helvetica;sans-serif"/>
          <w:b w:val="false"/>
          <w:color w:val="000000"/>
          <w:sz w:val="20"/>
        </w:rPr>
        <w:t>June 30, 2026</w:t>
      </w:r>
      <w:r>
        <w:rPr>
          <w:color w:val="000000"/>
          <w:shd w:fill="FFFFFF" w:val="clear"/>
        </w:rPr>
        <w:t xml:space="preserve"> </w:t>
      </w:r>
      <w:r>
        <w:rPr>
          <w:rFonts w:ascii="Helvetica;sans-serif" w:hAnsi="Helvetica;sans-serif"/>
          <w:b w:val="false"/>
          <w:color w:val="000000"/>
          <w:sz w:val="20"/>
          <w:shd w:fill="FFFFFF" w:val="clear"/>
        </w:rPr>
        <w:t xml:space="preserve">primarily driven by a </w:t>
      </w:r>
      <w:r>
        <w:rPr>
          <w:rFonts w:ascii="Helvetica;sans-serif" w:hAnsi="Helvetica;sans-serif"/>
          <w:b w:val="false"/>
          <w:color w:val="000000"/>
          <w:sz w:val="20"/>
        </w:rPr>
        <w:t>$106 million</w:t>
      </w:r>
      <w:r>
        <w:rPr>
          <w:color w:val="000000"/>
          <w:shd w:fill="FFFFFF" w:val="clear"/>
        </w:rPr>
        <w:t xml:space="preserve"> </w:t>
      </w:r>
      <w:r>
        <w:rPr>
          <w:rFonts w:ascii="Helvetica;sans-serif" w:hAnsi="Helvetica;sans-serif"/>
          <w:b w:val="false"/>
          <w:color w:val="000000"/>
          <w:sz w:val="20"/>
          <w:shd w:fill="FFFFFF" w:val="clear"/>
        </w:rPr>
        <w:t xml:space="preserve">gain recognized as a result of the deconsolidation of RVI and a $23 million gain from equity securities primarily related to investments held by RVI during the </w:t>
      </w:r>
      <w:r>
        <w:rPr>
          <w:rFonts w:ascii="Helvetica;sans-serif" w:hAnsi="Helvetica;sans-serif"/>
          <w:b w:val="false"/>
          <w:color w:val="000000"/>
          <w:sz w:val="20"/>
        </w:rPr>
        <w:t>three and six months ended June 30, 2026</w:t>
      </w:r>
      <w:r>
        <w:rPr>
          <w:rFonts w:ascii="Helvetica;sans-serif" w:hAnsi="Helvetica;sans-serif"/>
          <w:b w:val="false"/>
          <w:color w:val="000000"/>
          <w:sz w:val="20"/>
          <w:shd w:fill="FFFFFF" w:val="clear"/>
        </w:rPr>
        <w:t xml:space="preserve">. Refer to </w:t>
      </w:r>
      <w:r>
        <w:rPr>
          <w:rFonts w:ascii="Helvetica;sans-serif" w:hAnsi="Helvetica;sans-serif"/>
          <w:b w:val="false"/>
          <w:color w:val="000000"/>
          <w:sz w:val="20"/>
        </w:rPr>
        <w:t>Note 4 - Deconsolidation of RVI</w:t>
      </w:r>
      <w:r>
        <w:rPr>
          <w:color w:val="000000"/>
          <w:shd w:fill="FFFFFF" w:val="clear"/>
        </w:rPr>
        <w:t xml:space="preserve"> </w:t>
      </w:r>
      <w:r>
        <w:rPr>
          <w:rFonts w:ascii="Helvetica;sans-serif" w:hAnsi="Helvetica;sans-serif"/>
          <w:b w:val="false"/>
          <w:color w:val="000000"/>
          <w:sz w:val="20"/>
          <w:shd w:fill="FFFFFF" w:val="clear"/>
        </w:rPr>
        <w:t>of our unaudited condensed consolidated financial statements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Provision for Income Taxes </w:t>
      </w:r>
    </w:p>
    <w:tbl>
      <w:tblPr>
        <w:tblW w:w="9136" w:type="dxa"/>
        <w:jc w:val="center"/>
        <w:tblInd w:w="0" w:type="dxa"/>
        <w:tblLayout w:type="fixed"/>
        <w:tblCellMar>
          <w:top w:w="28" w:type="dxa"/>
          <w:left w:w="28" w:type="dxa"/>
          <w:bottom w:w="28" w:type="dxa"/>
          <w:right w:w="28" w:type="dxa"/>
        </w:tblCellMar>
      </w:tblPr>
      <w:tblGrid>
        <w:gridCol w:w="886"/>
        <w:gridCol w:w="775"/>
        <w:gridCol w:w="783"/>
        <w:gridCol w:w="211"/>
        <w:gridCol w:w="376"/>
        <w:gridCol w:w="109"/>
        <w:gridCol w:w="109"/>
        <w:gridCol w:w="109"/>
        <w:gridCol w:w="109"/>
        <w:gridCol w:w="211"/>
        <w:gridCol w:w="481"/>
        <w:gridCol w:w="109"/>
        <w:gridCol w:w="109"/>
        <w:gridCol w:w="109"/>
        <w:gridCol w:w="109"/>
        <w:gridCol w:w="240"/>
        <w:gridCol w:w="241"/>
        <w:gridCol w:w="520"/>
        <w:gridCol w:w="109"/>
        <w:gridCol w:w="109"/>
        <w:gridCol w:w="109"/>
        <w:gridCol w:w="211"/>
        <w:gridCol w:w="376"/>
        <w:gridCol w:w="109"/>
        <w:gridCol w:w="109"/>
        <w:gridCol w:w="109"/>
        <w:gridCol w:w="109"/>
        <w:gridCol w:w="211"/>
        <w:gridCol w:w="481"/>
        <w:gridCol w:w="109"/>
        <w:gridCol w:w="109"/>
        <w:gridCol w:w="109"/>
        <w:gridCol w:w="109"/>
        <w:gridCol w:w="240"/>
        <w:gridCol w:w="24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Provision for income taxes increased by $80 million and $110 million for the three and six months ended June 30, 2026 primarily due to the growth of the business and decrease in excess tax benefits from SBC.</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48310"/>
                <wp:effectExtent l="0" t="0" r="0" b="0"/>
                <wp:wrapNone/>
                <wp:docPr id="65" name="Frame6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Sources and Uses of Funds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principal sources of liquidity are cash flows generated from operations and our cash, cash equivalents, investments, and stablecoin. Other sources of future funds may include potential borrowing under our revolving lines of credit and potential issuance of new debt or equity. Our liquidity needs are primarily to 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DTC, the NSCC, OCC, and the CFTC. Based on our current level of operations, we believe our primary sources of liquidity will be adequate to meet our current liquidity needs for the next 12 months.</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Liquid Assets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we had cash and cash equivalents of $5.4 billion and stablecoin of $155 million. Refer to Note 8 - Investments and Fair Value Measurement, to our unaudited condensed consolidated financial statements in this Quarterly Report for further information.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Revolving Credit Facilities and Credit Card Funding Trust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we had committed revolving credit facilities with a total borrowing capacity of up to $4.875 billion and a borrowing capacity for the Trust of up to $1.550 billion. Refer to Note 11 - Financing Activities and Off-Balance Sheet Risk to our unaudited condensed consolidated financial statements in this Quarterly Report for further information.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RVI Deconsolidation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June 25, 2026, we sold a portion of our ownership interest in RVI, generating cash proceeds of $22 million. Refer to Note 4 - Deconsolidation of RVI, to our unaudited condensed consolidated financial statements in this Quarterly Report for further information. </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Commitments</w:t>
      </w:r>
    </w:p>
    <w:p>
      <w:pPr>
        <w:pStyle w:val="TextBody"/>
        <w:bidi w:val="0"/>
        <w:spacing w:lineRule="auto" w:line="288" w:before="0" w:after="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our short- and long-term material cash requirements for contractual obligations as of June 30, 2026:</w:t>
      </w:r>
    </w:p>
    <w:tbl>
      <w:tblPr>
        <w:tblW w:w="10205" w:type="dxa"/>
        <w:jc w:val="left"/>
        <w:tblInd w:w="0" w:type="dxa"/>
        <w:tblLayout w:type="fixed"/>
        <w:tblCellMar>
          <w:top w:w="28" w:type="dxa"/>
          <w:left w:w="28" w:type="dxa"/>
          <w:bottom w:w="28" w:type="dxa"/>
          <w:right w:w="28" w:type="dxa"/>
        </w:tblCellMar>
      </w:tblPr>
      <w:tblGrid>
        <w:gridCol w:w="1405"/>
        <w:gridCol w:w="1194"/>
        <w:gridCol w:w="1187"/>
        <w:gridCol w:w="211"/>
        <w:gridCol w:w="646"/>
        <w:gridCol w:w="109"/>
        <w:gridCol w:w="109"/>
        <w:gridCol w:w="109"/>
        <w:gridCol w:w="109"/>
        <w:gridCol w:w="297"/>
        <w:gridCol w:w="910"/>
        <w:gridCol w:w="153"/>
        <w:gridCol w:w="109"/>
        <w:gridCol w:w="109"/>
        <w:gridCol w:w="109"/>
        <w:gridCol w:w="225"/>
        <w:gridCol w:w="514"/>
        <w:gridCol w:w="116"/>
        <w:gridCol w:w="109"/>
        <w:gridCol w:w="109"/>
        <w:gridCol w:w="109"/>
        <w:gridCol w:w="211"/>
        <w:gridCol w:w="646"/>
        <w:gridCol w:w="109"/>
        <w:gridCol w:w="109"/>
        <w:gridCol w:w="109"/>
        <w:gridCol w:w="109"/>
        <w:gridCol w:w="239"/>
        <w:gridCol w:w="546"/>
        <w:gridCol w:w="179"/>
      </w:tblGrid>
      <w:tr>
        <w:trPr/>
        <w:tc>
          <w:tcPr>
            <w:tcW w:w="140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Payments Due by Period</w:t>
            </w:r>
          </w:p>
        </w:tc>
      </w:tr>
      <w:tr>
        <w:trPr/>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Remainder 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2027-2028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2029-2030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Thereafter</w:t>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Convertible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Purchase commitments</w:t>
            </w:r>
            <w:r>
              <w:rPr>
                <w:rFonts w:ascii="Helvetica;sans-serif" w:hAnsi="Helvetica;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Funding Trust borrowing principal and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Operating lease commitments</w:t>
            </w:r>
            <w:r>
              <w:rPr>
                <w:rFonts w:ascii="Helvetica;sans-serif" w:hAnsi="Helvetica;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Robinhood match incentives commitments</w:t>
            </w:r>
            <w:r>
              <w:rPr>
                <w:rFonts w:ascii="Helvetica;sans-serif" w:hAnsi="Helvetica;sans-serif"/>
                <w:b w:val="false"/>
                <w:color w:val="000000"/>
                <w:sz w:val="13"/>
              </w:rPr>
              <w:t>(3)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200"/>
        <w:ind w:left="0" w:right="0" w:hanging="180"/>
        <w:jc w:val="both"/>
        <w:rPr/>
      </w:pPr>
      <w:r>
        <w:rPr>
          <w:rFonts w:ascii="Helvetica;sans-serif" w:hAnsi="Helvetica;sans-serif"/>
          <w:b w:val="false"/>
          <w:color w:val="000000"/>
          <w:sz w:val="10"/>
          <w:shd w:fill="FFFFFF" w:val="clear"/>
        </w:rPr>
        <w:t>(1)</w:t>
      </w:r>
      <w:r>
        <w:rPr>
          <w:color w:val="000000"/>
          <w:shd w:fill="FFFFFF" w:val="clear"/>
        </w:rPr>
        <w:t xml:space="preserve"> </w:t>
      </w:r>
      <w:r>
        <w:rPr>
          <w:rFonts w:ascii="Helvetica;sans-serif" w:hAnsi="Helvetica;sans-serif"/>
          <w:b w:val="false"/>
          <w:color w:val="000000"/>
          <w:sz w:val="16"/>
          <w:shd w:fill="FFFFFF" w:val="clear"/>
        </w:rPr>
        <w:t>Purchase commitments are determined based on the non-cancelable quantities or termination amounts to which we are contractually obligated. These primarily relate to commitments for cloud infrastructure, data se</w:t>
      </w:r>
      <w:r>
        <w:rPr>
          <w:rFonts w:ascii="Helvetica;sans-serif" w:hAnsi="Helvetica;sans-serif"/>
          <w:b w:val="false"/>
          <w:color w:val="000000"/>
          <w:sz w:val="16"/>
        </w:rPr>
        <w:t xml:space="preserve">rvices and business insurance. </w:t>
      </w:r>
    </w:p>
    <w:p>
      <w:pPr>
        <w:pStyle w:val="TextBody"/>
        <w:bidi w:val="0"/>
        <w:spacing w:lineRule="auto" w:line="288" w:before="0" w:after="200"/>
        <w:ind w:left="0" w:right="0" w:hanging="180"/>
        <w:jc w:val="both"/>
        <w:rPr/>
      </w:pPr>
      <w:r>
        <w:rPr>
          <w:rFonts w:ascii="Helvetica;sans-serif" w:hAnsi="Helvetica;sans-serif"/>
          <w:b w:val="false"/>
          <w:color w:val="000000"/>
          <w:sz w:val="10"/>
          <w:shd w:fill="FFFFFF" w:val="clear"/>
        </w:rPr>
        <w:t>(2)</w:t>
      </w:r>
      <w:r>
        <w:rPr>
          <w:color w:val="000000"/>
          <w:shd w:fill="FFFFFF" w:val="clear"/>
        </w:rPr>
        <w:t xml:space="preserve"> </w:t>
      </w:r>
      <w:r>
        <w:rPr>
          <w:rFonts w:ascii="Helvetica;sans-serif" w:hAnsi="Helvetica;sans-serif"/>
          <w:b w:val="false"/>
          <w:color w:val="000000"/>
          <w:sz w:val="16"/>
          <w:shd w:fill="FFFFFF" w:val="clear"/>
        </w:rPr>
        <w:t>Operating lease commitments include tenant improvement allowances, which are amortized as a reduction of lease expense over the shorter of the estimated useful life of the improvements or the respective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48310"/>
                <wp:effectExtent l="0" t="0" r="0" b="0"/>
                <wp:wrapNone/>
                <wp:docPr id="66" name="Frame6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hanging="180"/>
        <w:jc w:val="both"/>
        <w:rPr/>
      </w:pPr>
      <w:r>
        <w:rPr>
          <w:rFonts w:ascii="Helvetica;sans-serif" w:hAnsi="Helvetica;sans-serif"/>
          <w:b w:val="false"/>
          <w:color w:val="000000"/>
          <w:sz w:val="10"/>
          <w:shd w:fill="FFFFFF" w:val="clear"/>
        </w:rPr>
        <w:t>(3)</w:t>
      </w:r>
      <w:r>
        <w:rPr>
          <w:color w:val="000000"/>
          <w:shd w:fill="FFFFFF" w:val="clear"/>
        </w:rPr>
        <w:t xml:space="preserve"> </w:t>
      </w:r>
      <w:r>
        <w:rPr>
          <w:rFonts w:ascii="Helvetica;sans-serif" w:hAnsi="Helvetica;sans-serif"/>
          <w:b w:val="false"/>
          <w:color w:val="000000"/>
          <w:sz w:val="16"/>
          <w:shd w:fill="FFFFFF" w:val="clear"/>
        </w:rPr>
        <w:t>Robinhood match incentives commitments represent non-cancelable future match payments on eligible cash deposits made by Robinhood Gold Subscribers</w:t>
      </w:r>
      <w:r>
        <w:rPr>
          <w:rFonts w:ascii="Helvetica;sans-serif" w:hAnsi="Helvetica;sans-serif"/>
          <w:b w:val="false"/>
          <w:color w:val="000000"/>
          <w:sz w:val="16"/>
        </w:rPr>
        <w:t>. The future match payments are forfeited if deposits are not held on the platform during the specific earning period.</w:t>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to lease and purchase commitments, we have two committed financing agreements: one with a contractual term of 30 days and a daily minimum commitment of $25 million and another with a contractual term of 21 days with a daily minimum commitment of $35 million. </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Regulatory Capital Requirements</w:t>
      </w:r>
    </w:p>
    <w:p>
      <w:pPr>
        <w:pStyle w:val="TextBody"/>
        <w:bidi w:val="0"/>
        <w:spacing w:lineRule="auto" w:line="288" w:before="240" w:after="20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 xml:space="preserve">Our broker-dealer subsidiaries (RHS, RHF, and TradePMR) are subject to the Net Capital Rule, administered by the SEC and FINRA, which requires the maintenance of minimum net capital, as defined. Net capital and the related net capital requirements may fluctuate on a daily basis. RHS and RHF compute net capital under the alternative method as permitted by the Net Capital Rule. </w:t>
      </w:r>
    </w:p>
    <w:p>
      <w:pPr>
        <w:pStyle w:val="TextBody"/>
        <w:bidi w:val="0"/>
        <w:spacing w:lineRule="auto" w:line="288" w:before="240" w:after="20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 xml:space="preserve">Our FCM subsidiary, RHD, is subject to CFTC Regulation 1.17, administered by the CFTC and the NFA, which requires the maintenance of minimum net capital, as defined by CFTC Regulation 1.17. Net capital and the related net capital requirements may fluctuate on a daily basis. </w:t>
      </w:r>
    </w:p>
    <w:p>
      <w:pPr>
        <w:pStyle w:val="TextBody"/>
        <w:bidi w:val="0"/>
        <w:spacing w:lineRule="auto" w:line="276" w:before="0" w:after="20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The table below summarizes the net capital, capital requirements, and excess net capital of RHS, RHF, RHD, and TradePMR as of periods presented:</w:t>
      </w:r>
    </w:p>
    <w:tbl>
      <w:tblPr>
        <w:tblW w:w="8452"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213"/>
        <w:gridCol w:w="652"/>
        <w:gridCol w:w="110"/>
        <w:gridCol w:w="109"/>
        <w:gridCol w:w="109"/>
        <w:gridCol w:w="109"/>
        <w:gridCol w:w="457"/>
        <w:gridCol w:w="1045"/>
        <w:gridCol w:w="238"/>
        <w:gridCol w:w="109"/>
        <w:gridCol w:w="109"/>
        <w:gridCol w:w="109"/>
        <w:gridCol w:w="773"/>
        <w:gridCol w:w="2368"/>
        <w:gridCol w:w="56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Required Net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Capital in Excess of Required Net Capital</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3,443 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RHF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426 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TradePMR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2026, these subsidiaries were in compliance with their respective regulatory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48310"/>
                <wp:effectExtent l="0" t="0" r="0" b="0"/>
                <wp:wrapNone/>
                <wp:docPr id="67" name="Frame6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Cash Flows</w:t>
      </w:r>
    </w:p>
    <w:p>
      <w:pPr>
        <w:pStyle w:val="TextBody"/>
        <w:bidi w:val="0"/>
        <w:spacing w:lineRule="auto" w:line="288" w:before="0" w:after="200"/>
        <w:ind w:left="0" w:right="0" w:hanging="108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 activities:</w:t>
      </w:r>
    </w:p>
    <w:tbl>
      <w:tblPr>
        <w:tblW w:w="5135" w:type="dxa"/>
        <w:jc w:val="left"/>
        <w:tblInd w:w="0" w:type="dxa"/>
        <w:tblLayout w:type="fixed"/>
        <w:tblCellMar>
          <w:top w:w="28" w:type="dxa"/>
          <w:left w:w="28" w:type="dxa"/>
          <w:bottom w:w="28" w:type="dxa"/>
          <w:right w:w="28" w:type="dxa"/>
        </w:tblCellMar>
      </w:tblPr>
      <w:tblGrid>
        <w:gridCol w:w="908"/>
        <w:gridCol w:w="794"/>
        <w:gridCol w:w="802"/>
        <w:gridCol w:w="109"/>
        <w:gridCol w:w="109"/>
        <w:gridCol w:w="109"/>
        <w:gridCol w:w="211"/>
        <w:gridCol w:w="646"/>
        <w:gridCol w:w="109"/>
        <w:gridCol w:w="109"/>
        <w:gridCol w:w="109"/>
        <w:gridCol w:w="109"/>
        <w:gridCol w:w="211"/>
        <w:gridCol w:w="646"/>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Operating activities</w:t>
      </w:r>
    </w:p>
    <w:tbl>
      <w:tblPr>
        <w:tblW w:w="10205" w:type="dxa"/>
        <w:jc w:val="left"/>
        <w:tblInd w:w="0" w:type="dxa"/>
        <w:tblLayout w:type="fixed"/>
        <w:tblCellMar>
          <w:top w:w="28" w:type="dxa"/>
          <w:left w:w="28" w:type="dxa"/>
          <w:bottom w:w="28" w:type="dxa"/>
          <w:right w:w="28" w:type="dxa"/>
        </w:tblCellMar>
      </w:tblPr>
      <w:tblGrid>
        <w:gridCol w:w="3186"/>
        <w:gridCol w:w="2631"/>
        <w:gridCol w:w="2645"/>
        <w:gridCol w:w="109"/>
        <w:gridCol w:w="109"/>
        <w:gridCol w:w="109"/>
        <w:gridCol w:w="284"/>
        <w:gridCol w:w="923"/>
        <w:gridCol w:w="209"/>
      </w:tblGrid>
      <w:tr>
        <w:trPr/>
        <w:tc>
          <w:tcPr>
            <w:tcW w:w="3186"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8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 to 2026 Change</w:t>
            </w:r>
          </w:p>
        </w:tc>
      </w:tr>
      <w:tr>
        <w:trPr/>
        <w:tc>
          <w:tcPr>
            <w:tcW w:w="8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Changes to net cash provided by (used in) operating activities were primarily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securities loaned due to continued growth of our securities lending program, as well as market conditions, variable lending and funding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3,733 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payable to users primarily driven by higher customer free credit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3,248 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net income after adjusting for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securities borrowed due to increased customer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(705)</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receivables from users primarily driven by higher customer margin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(3,176)</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securities segregated under federal and other regulations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(3,772)</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Decrease in working capital primarily driven by increase in receivables from brokers, dealers, and clearing organizations and increase in deposits with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(1,393)</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Investing activities</w:t>
      </w:r>
    </w:p>
    <w:tbl>
      <w:tblPr>
        <w:tblW w:w="10205" w:type="dxa"/>
        <w:jc w:val="left"/>
        <w:tblInd w:w="0" w:type="dxa"/>
        <w:tblLayout w:type="fixed"/>
        <w:tblCellMar>
          <w:top w:w="28" w:type="dxa"/>
          <w:left w:w="28" w:type="dxa"/>
          <w:bottom w:w="28" w:type="dxa"/>
          <w:right w:w="28" w:type="dxa"/>
        </w:tblCellMar>
      </w:tblPr>
      <w:tblGrid>
        <w:gridCol w:w="2934"/>
        <w:gridCol w:w="2567"/>
        <w:gridCol w:w="2592"/>
        <w:gridCol w:w="109"/>
        <w:gridCol w:w="109"/>
        <w:gridCol w:w="109"/>
        <w:gridCol w:w="350"/>
        <w:gridCol w:w="1176"/>
        <w:gridCol w:w="259"/>
      </w:tblGrid>
      <w:tr>
        <w:trPr/>
        <w:tc>
          <w:tcPr>
            <w:tcW w:w="2934"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 to 2026 Change</w:t>
            </w:r>
          </w:p>
        </w:tc>
      </w:tr>
      <w:tr>
        <w:trPr/>
        <w:tc>
          <w:tcPr>
            <w:tcW w:w="8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Changes to net cash provided by (used in) investing activities were primarily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due to lower cash paid associated with business and asset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150 </w:t>
            </w:r>
          </w:p>
        </w:tc>
        <w:tc>
          <w:tcPr>
            <w:tcW w:w="2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proceeds from sales of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purchases of non-marketable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w:t>
            </w:r>
          </w:p>
        </w:tc>
        <w:tc>
          <w:tcPr>
            <w:tcW w:w="2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derecognized upon deconsolidation of RVI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w:t>
            </w:r>
          </w:p>
        </w:tc>
        <w:tc>
          <w:tcPr>
            <w:tcW w:w="2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purchases of credit card receivables offset by collections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w:t>
            </w:r>
          </w:p>
        </w:tc>
        <w:tc>
          <w:tcPr>
            <w:tcW w:w="2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Decrease in proceeds received from maturities of held-to-maturity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w:t>
            </w:r>
          </w:p>
        </w:tc>
        <w:tc>
          <w:tcPr>
            <w:tcW w:w="2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Decrease in cash, cash equivalents, and segregated cash acquired in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(1,098)</w:t>
            </w:r>
          </w:p>
        </w:tc>
        <w:tc>
          <w:tcPr>
            <w:tcW w:w="2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(1,895)</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48310"/>
                <wp:effectExtent l="0" t="0" r="0" b="0"/>
                <wp:wrapNone/>
                <wp:docPr id="68" name="Frame6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Financing activities</w:t>
      </w:r>
    </w:p>
    <w:tbl>
      <w:tblPr>
        <w:tblW w:w="10205" w:type="dxa"/>
        <w:jc w:val="left"/>
        <w:tblInd w:w="0" w:type="dxa"/>
        <w:tblLayout w:type="fixed"/>
        <w:tblCellMar>
          <w:top w:w="28" w:type="dxa"/>
          <w:left w:w="28" w:type="dxa"/>
          <w:bottom w:w="28" w:type="dxa"/>
          <w:right w:w="28" w:type="dxa"/>
        </w:tblCellMar>
      </w:tblPr>
      <w:tblGrid>
        <w:gridCol w:w="3057"/>
        <w:gridCol w:w="2594"/>
        <w:gridCol w:w="2613"/>
        <w:gridCol w:w="109"/>
        <w:gridCol w:w="109"/>
        <w:gridCol w:w="109"/>
        <w:gridCol w:w="336"/>
        <w:gridCol w:w="1030"/>
        <w:gridCol w:w="248"/>
      </w:tblGrid>
      <w:tr>
        <w:trPr/>
        <w:tc>
          <w:tcPr>
            <w:tcW w:w="3057"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 to 2026 Change</w:t>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Changes to net cash provided by (used in) financing activities were primarily due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issuance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2,200 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Decrease in cash paid for taxes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349 </w:t>
            </w:r>
          </w:p>
        </w:tc>
        <w:tc>
          <w:tcPr>
            <w:tcW w:w="2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received from issuance of RVI common stock in connection with initial public offering, net of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312 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borrowings by the Credit Card Funding Trust to purchase credit card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278 </w:t>
            </w:r>
          </w:p>
        </w:tc>
        <w:tc>
          <w:tcPr>
            <w:tcW w:w="2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repayments on borrowings by the Credit Card Funding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2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 of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in cash paid for repurchases of common stock of RHM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w:t>
            </w:r>
          </w:p>
        </w:tc>
        <w:tc>
          <w:tcPr>
            <w:tcW w:w="2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2,789 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Critical Accounting Estimates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unaudited condensed consolidated financial statements are prepared in accordance with GAAP. The preparation of these unaudited condensed consolidated financial statements requires estimates and assumptions that affect the reported amounts of assets and liabilities, revenues and expenses, and related disclosures of contingent liabilities on our unaudited condensed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We also have other key accounting policies, which involve the use of estimates, judgments, and assumptions that are significant to understanding our results. Although we believe that our estimates, assumptions, and judgments are reasonable, they are based upon information presently available. Actual results might differ significantly from these estimates under different assumptions, judgments, or conditions.</w:t>
      </w:r>
    </w:p>
    <w:p>
      <w:pPr>
        <w:pStyle w:val="TextBody"/>
        <w:bidi w:val="0"/>
        <w:spacing w:lineRule="auto" w:line="288" w:before="0" w:after="26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have been no material changes to our critical accounting estimates during the six months ended June 30, 2026, as compared to those disclosed in “Management’s Discussion and Analysis of Financial Condition and Results of Operations — Critical Accounting Estimates”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Recent Accounting Pronouncements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Item 1 of Part I, “Unaudited Financial Statements — Note 2 -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48310"/>
                <wp:effectExtent l="0" t="0" r="0" b="0"/>
                <wp:wrapNone/>
                <wp:docPr id="69" name="Frame6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3. QUANTITATIVE AND QUALITATIVE DISCLOSURES ABOUT MARKET RISK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Interest Rate Risk</w:t>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exposure to changes in interest rates primarily relates to interest revenue earned on our interest-earning assets that are subject to floating interest rates. Interest revenue is affected by various factors such as the distribution and composition of interest-earning assets and the federal funds rate. We use a net interest sensitivity analysis, which applies hypothetical 50, 100 or 150 basis point increases or decreases in interest rates to the period end balances of our interest-earning assets and liabilities, including interest rate sensitive off-balance sheet amounts related to our Coastal Bank Program Agreement, to evaluate the effect that changes in interest rates might have on total net revenues, net income, and cash flows, prior to any income tax effects, over the next 12 months.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sensitivity analysis assumes the asset and liability structure of the consolidated balance sheets would not change as a result of simulated changes in interest rates. Additionally, the analysis does not factor in any assumptions on the effect simulated changes in interest rates would have on trading activities across our platforms. For our Cash Sweep program, we earn a net interest spread on Cash Sweep balances based on the interest rate offered by the partner banks less the interest rate given to users, as stated in our program terms. For the vast majority of the Cash Sweep program, we have the ability to manage our net interest spread by adjusting the rate given to users as a result of changes in rates received from partner banks. As such, we do not consider the Cash Sweep balance to be subject to short-term interest rate risk and the sensitivity analysis excludes Cash Sweep balances. </w:t>
      </w:r>
    </w:p>
    <w:p>
      <w:pPr>
        <w:pStyle w:val="TextBody"/>
        <w:bidi w:val="0"/>
        <w:spacing w:before="0" w:after="0"/>
        <w:ind w:left="0" w:right="0" w:firstLine="360"/>
        <w:jc w:val="both"/>
        <w:rPr/>
      </w:pPr>
      <w:r>
        <w:rPr/>
      </w:r>
    </w:p>
    <w:p>
      <w:pPr>
        <w:pStyle w:val="TextBody"/>
        <w:bidi w:val="0"/>
        <w:spacing w:lineRule="auto" w:line="268"/>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impact to total net revenues, net income, and cash flows, prior to any income tax effects, as a result of a hypothetical interest rate change at the end of each reporting period would be:</w:t>
      </w:r>
    </w:p>
    <w:tbl>
      <w:tblPr>
        <w:tblW w:w="3740" w:type="dxa"/>
        <w:jc w:val="left"/>
        <w:tblInd w:w="0" w:type="dxa"/>
        <w:tblLayout w:type="fixed"/>
        <w:tblCellMar>
          <w:top w:w="28" w:type="dxa"/>
          <w:left w:w="28" w:type="dxa"/>
          <w:bottom w:w="28" w:type="dxa"/>
          <w:right w:w="28" w:type="dxa"/>
        </w:tblCellMar>
      </w:tblPr>
      <w:tblGrid>
        <w:gridCol w:w="522"/>
        <w:gridCol w:w="456"/>
        <w:gridCol w:w="461"/>
        <w:gridCol w:w="109"/>
        <w:gridCol w:w="109"/>
        <w:gridCol w:w="109"/>
        <w:gridCol w:w="211"/>
        <w:gridCol w:w="481"/>
        <w:gridCol w:w="109"/>
        <w:gridCol w:w="109"/>
        <w:gridCol w:w="109"/>
        <w:gridCol w:w="109"/>
        <w:gridCol w:w="211"/>
        <w:gridCol w:w="481"/>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50 basis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100 basis 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150 basis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change to total net revenues, net income, and cash flows, prior to any income tax effects, would be the same as total net revenues includes net interest revenue, which captures both the impact of any incremental interest revenue and interest expense, and changes in interest rates do not have a direct impact on operating expenses. The impact related to the change in interest rates is positively correlated, linear, and proportional. The change in the sensitivity analysis from prior year is in line with the change in interest-earning asset balances. </w:t>
      </w:r>
    </w:p>
    <w:p>
      <w:pPr>
        <w:pStyle w:val="TextBody"/>
        <w:bidi w:val="0"/>
        <w:spacing w:before="0" w:after="20"/>
        <w:ind w:left="0" w:right="0" w:firstLine="360"/>
        <w:jc w:val="both"/>
        <w:rPr/>
      </w:pPr>
      <w:r>
        <w:rPr/>
      </w:r>
    </w:p>
    <w:p>
      <w:pPr>
        <w:pStyle w:val="TextBody"/>
        <w:bidi w:val="0"/>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have exposure to changes in interest rates related to our variable-rate credit facilities. See Note 11 - Financing Activities and Off-Balance Sheet Risk, to our unaudited condensed consolidated financial statements in this Quarterly Report for further information. However, as there were no outstanding borrowings under our uncommitted revolving credit facilities as of June 30, 2026, we had limited financial exposure associated with changes in interest rates as of such date.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established a comprehensive interest rate risk management policy, which formalizes our approach to managing interest rate risk arising in connection with the operation of our businesses. The policy sets forth policies and procedures pursuant to which we will identify interest rate risk exposure, identify and implement appropriate hedging strategies and hedging instruments, and analyze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48310"/>
                <wp:effectExtent l="0" t="0" r="0" b="0"/>
                <wp:wrapNone/>
                <wp:docPr id="70" name="Frame6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effectiveness of our hedging strategies. Interest rate instruments will be used for hedging purposes only and not for speculation.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Market-Related Credit Risk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4. CONTROLS AND PROCEDURES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Evaluation of Disclosure Controls and Procedures</w:t>
      </w:r>
    </w:p>
    <w:p>
      <w:pPr>
        <w:pStyle w:val="TextBody"/>
        <w:bidi w:val="0"/>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management, with the participation of our CEO and our Chief Financial Officer (“CFO”), has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Based on such evaluation, our CEO and CFO have concluded that, as of the end of the period covered by this Quarterly Report, our disclosure controls and procedures were effective.</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Changes in Internal Control Over Financial Reporting</w:t>
      </w:r>
    </w:p>
    <w:p>
      <w:pPr>
        <w:pStyle w:val="TextBody"/>
        <w:bidi w:val="0"/>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Except as noted below, there has been no change in our internal control over financial reporting (as defined in Rule 13a-15(f) and 15d15(f) under the Exchange Act) during the three months ended June 30, 2026 that has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48310"/>
                <wp:effectExtent l="0" t="0" r="0" b="0"/>
                <wp:wrapNone/>
                <wp:docPr id="71" name="Frame7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June 1, 2026, we acquired WonderFi as discussed in Note 3 – Business Combinations, to our unaudited condensed consolidated financial statements in this Quarterly Report for further information. We are in the process of evaluating and integrating WonderFi into our system of internal control over financial reporting. In accordance with guidance issued by the staffs of the SEC’s Office of the Chief Accountant and the Division of Corporation Finance, companies are permitted to exclude acquisitions from their assessment of internal control over financial reporting for the first fiscal year in which the acquisition occurred and management currently expects to exclude WonderFi from such assessment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48310"/>
                <wp:effectExtent l="0" t="0" r="0" b="0"/>
                <wp:wrapNone/>
                <wp:docPr id="72" name="Frame7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1. LEGAL PROCEEDINGS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Item 1 of Part I, “Unaudited Financial Statements — Note 15 - Commitments &amp;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1A. RISK FACTORS</w:t>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A description of the risks and uncertainties associated with our business is set forth below. You should carefully consider the risks and uncertainties described below, as well as the other information included in this Quarterly Report, including our unaudited condensed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Quarterly Report, including statements in the following risk factors, constitute forward-looking statements. Please refer to “Cautionary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Summary of Risk Factors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business is subject to a number of risks and uncertainties including those described at length in the Risk Factors section below. We consider the following to be our most material risks: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We might not grow in line with historical rates.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results of operations and other operating metrics fluctuate from quarter to quarter, which makes these metrics difficult to predict.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Factors that affect transaction-based revenue - such as reduced spreads in securities pricing, reduced levels of trading activity generally, changes in our business relationships with or disruption in the services provided by Liquidity Providers (as defined below), and any new regulation of, or any bans on, PFOF and similar practices - might result in reduced profitability, increased compliance costs, and negative publicity.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We are directly and indirectly exposed to fluctuations in interest rates, and rapidly changing interest rate environments have in the past and could in the future reduce our net interest revenues and otherwise result in reduced profitability.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As registered broker-dealers, we are subject to “best execution” requirements under common law agency principles, fiduciary obligations, and FINRA rules. We could be penalized if we fail to comply with these requirements, and these requirements might be modified in the future in a way that could harm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Unfavorable media coverage and other events that harm our brand and reputation have in the past, and may in the future, adversely affect our revenue and the size, engagement, and loyalty of our customer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business has been and might continue to be harmed by changes in business, economic, or political conditions that impact global financial markets, or by a systemic market event.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future success depends on the continuing efforts of our key employees and our ability to attract and retain senior management and other highly skilled personnel.</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Rothera, owned and operated as a joint venture with SIG, operates a futures and derivatives exchange and clearinghouse through its subsidiary, Rothera E&amp;C. We do not wholly own or operationally control Rothera and its subsidiaries, and actions taken by Rothera and its subsidiaries could adversely affect our business, financial condition, results of operations, and reputation.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We currently operate in certain international markets and plan to further expand our international operations, which exposes us to significant new risks, and our international expansion efforts might not succeed.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business is subject to extensive, complex, and changing laws and regulations, and related regulatory proceedings and investigations. Changes in these laws and regulations, or our failure to comply with these laws and regulations, could harm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We are involved in numerous litigation matters that are expensive and time consuming, and, if resolved adversely, could expose us to significant liability and reputational harm.</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ability to offer event contracts is subject to the outcome of currently ongoing and potential future regulatory enforcement actions and litigation, as well as potential changes in federal or state law, that could immediately or subsequently prevent us from offering, or continuing to offer, event contracts.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We operate in highly competitive markets, and many of our competitors have greater resources than we do and may have products and services that are more appealing than ours to our current or potential customers.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If we fail to retain existing customers or attract new customers, or if our customers decrease their use of our products and services, our revenue will decline.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If we fail to provide, monetize, or successfully execute on new and innovative products, services and initiatives that are adopted by customers, our business may become less competitive and our revenue might decline.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We rely on third parties to perform some key functions, and their failure to perform those functions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We continue to incorporate AI technologies into some of our products and processes. These technologies may present business, compliance, legal, and reputational risks.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business could be materially and adversely affected by a cybersecurity or data breach or other attack involving our computer systems or data or those of our customers or third-party or fourth-party service providers.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If we do not maintain the net capital levels required by regulators, our broker-dealer business may be restricted, and we may be fined or subject to other disciplinary or corrective actions.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compliance and risk management policies and procedures as a regulated financial services company might not be fully effective in identifying or mitigating compliance and risk exposure in all market environments or against all types of risk.</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In the U.S., any particular cryptocurrency’s status as a “security” and cryptocurrency transaction’s status as an “investment contract” is subject to a high degree of uncertainty and if we have not properly characterized one or more cryptocurrencies or cryptocurrency transactions, we might be subject to legal and regulatory scrutiny, investigations, fines, and other penalties.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If the SEC, a state regulator or a private litigant alleges that staking or onchain lending services we offer in the U.S. involve unregistered offers and sales of securities or unregistered securities broker-dealer activity in violation of federal securities laws or applicable state laws or regulations, and the courts agree with such plaintiff, we may be required to cease our staking or onchain lending activities and may be subject to monetary penalties and other sanctions.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Cryptocurrency laws, regulations, regulatory guidance, regulatory interpretations,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launch of Stock Tokens globally, continued offering of Classic Stock Tokens and perpetual futures trading in the EEA, and updates to Robinhood Wallet to allow eligible users in selected jurisdictions to access Stock Tokens and decentralized perpetual futures via a third-party decentralized exchange within the Robinhood Wallet, may expose us to significant regulatory, litigation, contractual, operational, and reputational risks.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multi-class structure of our common stock has the effect of concentrating voting power with our founders, which limits your ability to influence the outcome of matters submitted to our stockholders for approval. In addition, the Founders’ Voting Agreement (as defined below) and any future issuances of our Class C common stock could prolong the duration of our founders’ voting control.</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8"/>
        </w:rPr>
      </w:pPr>
      <w:r>
        <w:rPr>
          <w:rFonts w:ascii="Helvetica;sans-serif" w:hAnsi="Helvetica;sans-serif"/>
          <w:b w:val="false"/>
          <w:color w:val="000000"/>
          <w:sz w:val="28"/>
        </w:rPr>
        <w:t>Risks Related to Our Business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might not grow in line with historical rates.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grown rapidly since our founding. However, the circumstances that accelerated the growth of our business in the past, including an extended period of general macroeconomic growth in the U.S., as well as growth in the financial services and technology industries, may not exist in the future. You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should not rely on our revenue or key business metrics for any previous quarterly or annual period as any indication of our revenue, revenue growth, key business metrics or key business metrics growth in future periods.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might experience declines in the growth of our business (or negative growth) as a result of a number of factors, including slowing demand for our platforms, insufficient growth in the number of customers that utilize our platforms, declines in the level of usage of our platforms by existing customers, macroeconomic factors, increasing competition, a decrease in the growth of our overall market, or our failure to continue to capitalize on growth opportunities, including as a result of our inability to scale to meet such growth and economic conditions that have, in some instances, and could continue to reduce financial activity and the maturation of our business, among others. We also may not realize the intended benefits of acquisitions of, or investments in, other companies, products, or technologies intended to grow our business. Any failure to successfully address these risks and challenges as we encounter them, will negatively affect our growth. Our revenue growth rate has declined in the past and if our revenue growth rate were to decline in the future, investors’ perceptions of our business and the trading price of our Class A common stock could be adversely affected.</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Helvetica;sans-serif" w:hAnsi="Helvetica;sans-serif"/>
          <w:b w:val="false"/>
          <w:color w:val="000000"/>
          <w:sz w:val="20"/>
        </w:rPr>
        <w:t>We have expanded and continue to expand our operations rapidly, including continuing to introduce new products and services on our platforms as well as geographic expansion, which makes it difficult to evaluate our current business and future prospects, and subjects us to a number of uncertainties, including our ability to plan for, model, and manage potential future growth and risks. For example, we have undertaken multiple restructurings, and in the past have implemented significant workforce reductions and have scaled back hiring plans. These actions were driven by a general downturn in economic and market conditions. While these steps were taken to improve operational efficiency, there can be no assurance that further restructuring or workforce reductions will not be necessary in the future.</w:t>
      </w:r>
      <w:r>
        <w:rPr>
          <w:color w:val="000000"/>
        </w:rPr>
        <w:t xml:space="preserve"> </w:t>
      </w:r>
      <w:r>
        <w:rPr>
          <w:rFonts w:ascii="Helvetica;sans-serif" w:hAnsi="Helvetica;sans-serif"/>
          <w:b w:val="false"/>
          <w:color w:val="000000"/>
          <w:sz w:val="20"/>
        </w:rPr>
        <w:t>As part of our ongoing efforts in the normal course of business, we also continuously evaluate whether we are appropriately staffed to be cost efficient. From time to time, we have reduced our staff in certain departments as we saw increased productivity and opportunities for greater efficiency under a leaner operating model while continuing to deliver great service and innovation for our customers. For example, in June 2026, we announced a reduction in force as part of our efforts to maintain a high performance culture, further accelerate product velocity, and remain lean and disciplined.</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Such efforts to control costs have in the past resulted, and might in the future result, in reduced productivity and deteriorating workforce morale, which can cause our business initiatives to suffer. However, as market conditions improve, we also face a risk that renewed business growth could strain our existing resources, or that we are not able to effectively scale up in response, and we could experience ongoing operating difficulties in managing our business across numerous jurisdictions, including difficulties in hiring, training, and managing a dispersed employee base.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also encountered, and will continue to encounter, risks and difficulties frequently experienced by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Additionally, as our business operations continue to expand, we have had and may continue to have difficulties meeting customer demand and expectations or face challenges with respect to new offerings or services we have not previously provided or have previously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provided in a different capacity or smaller scale. For instance, through our engagement as brokerage and initial trustee in connection with the Trump Accounts initiative, we have entered into a new business line, which introduces new and heightened risks, including potential increased public or political scrutiny, the need to comply with certain federal contracting policies and requirements, including with respect to reimbursement and invoicing, and operational challenges associated with building and managing a platform to government specifications. Likewise, in June 2026, RHS received approval from FINRA to engage in underwriting activities in connection with public securities offerings. This new business line will expose us to risks we have not previously faced, including that we may incur losses and be subject to reputational harm to the extent that, for any reason, we are unable to sell securities we purchased as an underwriter at the anticipated price levels. As an underwriter, we are also subject to liability for material misstatements or omissions in prospectuses and other offering documents relating to offerings that we underwrite, as well as potential conflicts of interest, real or perceived, with our retail brokerage business. We might fail to adequately address these and other challenges we may face, and our business might be adversely affected if we do not manage these risks successfully.</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results of operations and other operating metrics fluctuate from quarter to quarter, which makes these metrics difficult to predict.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results of operations are heavily reliant on the level of trading activity on our platforms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have included and could in the future include, among others: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ability to retain and engage existing customers and attract new customers;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timing and success of new product and service introductions by us or our competitors, or other changes in the competitive landscape of our market;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volatility in the market, whether generally or as a result of certain anticipated or unanticipated events (such as international conflicts, geopolitical events and developments with respect to tariffs and trade policy shifts), or the occurrence of so-called “meme” trading in equities, options, cryptocurrencies, or futures (which includes options on futures and swaps, including cleared swaps and event contracts (“Futures”)), any of which can cause our trading volumes to fluctuate;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fluctuations in interest rates;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increases in marketing, sales, compensation (for example, due to increased hiring competition for highly skilled personnel), cloud infrastructure, and other operating expenses that we might incur to grow and expand our operations and to remain competitive;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timing and amount of non-cash expenses, such as SBC and asset impairments;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success of our expansion into new markets or acquisitions;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trading volume and the prevailing trading prices for cryptocurrencies, which can be highly volatile;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fluctuations in transaction-based revenues, which include options, cryptocurrencies, and equities, are driven by different factors across asset classes, with equities and options revenues mainly impacted by market volatility and changes in asset mix, and cryptocurrency revenues mainly impacted by changes in the mix of customers and applicable pricing tiers;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ceasing support for certain cryptocurrencies on our RHC platform, including those that the SEC or a court has asserted or determined are securities, or proactively removing certain cryptocurrencies because they share similarities with such cryptocurrencies;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changes in the public’s perception, adoption, and use of cryptocurrencies and other asset classes;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any inability of customers to place trades, due to system disruptions, outages, or trading restrictions;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any events that damage customer confidence in Robinhood, such as security, privacy, or data breaches;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impacts of public health threats (including pandemics such as COVID-19), unemployment, and inflation;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changes in domestic or global business or macroeconomic conditions, including as a result of tariffs and trade policy shifts, geopolitical conflicts, banking instability, or responses to these events;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changes in tax laws or judicial or regulatory interpretations of tax laws, which are recorded in the period such laws are enacted or interpretations are issued, and might significantly affect the effective tax rate of that period.</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of the factors above or listed elsewhere in this Risk Factors section, or the cumulative effect of some of those factors, could result in significant fluctuations in our results of operations.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In prior full year periods since our inception, we have incurred operating losses, and even though we are profitable now, we may not be profitable in the future.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generated positive full year GAAP net income for the first time in 2024, and full year GAAP net income increased in 2025. However, in prior full year periods since our inception, we have incurred operating losses. We may not be able to maintain or increase our revenue and/or maintain or further reduce our operating expenses by sufficient amounts to sustain positive GAAP net income at levels consistent with 2024 and 2025, or continue to generate positive GAAP net income.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Factors that affect transaction-based revenue - such as reduced spreads in securities pricing, reduced levels of trading activity generally, changes in our business relationships with or disruption in the services provided by Liquidity Providers, and any new regulation of, or any bans on, PFOF and similar practices - might result in reduced profitability, increased compliance costs, and negative publicity.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large portion of our revenue is transaction-based, in that we receive consideration in exchange for routing our users’ equity, option, and cryptocurrency trade orders to market makers, wholesalers and other liquidity providers (together, “Liquidity Providers”) for execution. With respect to equities and options trading, such fees are known as payment for order flow, or “PFOF.” With respect to cryptocurrency trading, currently we receive “Transaction Rebates.” Our transaction-based revenue is sensitive to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 decrease in our PFOF earned from Liquidity Providers. For example, the SEC adopted final rules in 2024 (the “September 2024 Final Rules”) to, among other things, adopt an additional minimum pricing increment, or “tick size,” for the quoting of certain NMS stocks under Rule 612 of Regulation NMS, reduce the access fee caps for protected quotations under Rule 610 of Regulation NMS and enhance the transparency of better priced orders. On September 30, 2025, and October 31, 2025, the SEC granted temporary exemptive relief from certain compliance dates adopted under the September 2024 Final Rules, including those relating to amended Rule 605 reporting, rules related to the requirement that exchange fees be determinable at the time of execution, and the rules related to minimum pricing increments and access fee caps, which extended the effective dates to August, February, and November of 2026 respectively. On June 11, 2026, the SEC further extended the compliance dates for the minimum pricing increment and access fee cap rules to November 2027. The quote transparency rules will make the information about smaller-sized orders publicly available and may result in the contraction of spreads across several securities, which we expect could lead to a decrease in the PFOF earned from such orders given that, as a result of the amended round lot (implemented in November 2025) and odd-lot definitions (starting on May 1, 2026), the SIPs have begun making information about smaller-sized orders publicly available and will be followed by an August 1, 2026, compliance date for the Rule 605 execution quality report amendments. In addition, the legislative and regulatory landscape governing cryptocurrencies and related activities is subject to change and is experiencing rapid evolution, and changes in the legislative or regulatory landscape, including, for instance, the assertion of jurisdiction by domestic and foreign regulators and governments over cryptocurrency and cryptocurrency markets, could reduce demand for cryptocurrency trading and might materially decrease our revenue derived from Transaction Rebates in absolute terms and as a proportion of our total revenues.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Risks Related to our Business Relationships with Liquidity Providers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Helvetica;sans-serif" w:hAnsi="Helvetica;sans-serif"/>
          <w:b w:val="false"/>
          <w:color w:val="000000"/>
          <w:sz w:val="20"/>
        </w:rPr>
        <w:t>Our PFOF and Transaction Rebate arrangements with Liquidity Providers are a matter of practice and business understanding and are often not documented under binding contracts (as is generally the case with Liquidity Providers in equities and options). If any Liquidity Providers were unwilling or unable to continue to receive orders from us or to pay us for those orders (including, for example, as a result of unusually high volatility or regulatory scrutiny), we might have little to no recourse and, if there are no other Liquidity Providers that are willing or able to receive such orders from us or to pay us for such orders, or if we are unable to find replacement Liquidity Providers in a timely manner, our transaction-based revenue would be negatively impacted. Although we have established relationships with third-party cryptocurrency exchanges that may provide additional access to Liquidity Providers that are able to execute cryptocurrency trades, any shortages in Liquidity Providers willing and able to support cryptocurrencies in the U.S. could pose a risk that we may be unable to find suitable Liquidity Providers to support cryptocurrencies. Additionally, this risk is heightened for brokerage orders executed outside of regular market hours through Robinhood 24 Hour Market, as currently brokerage trades executed overnight are primarily routed through two Liquidity Providers. If one or more of those Liquidity Providers become unwilling or unable to do business with us in the future, we may be unable to find additional Liquidity Providers to support Robinhood 24 Hour Market, which could negatively impact our transaction-based revenue. Furthermore, if any of our Liquidity Providers decide to alter our given fee arrangement, our transaction-based revenue could be negatively impacted</w:t>
      </w:r>
      <w:r>
        <w:rPr>
          <w:rFonts w:ascii="Helvetica;sans-serif" w:hAnsi="Helvetica;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disruptions in the services provided by Liquidity Providers, whether, for example, due to technical or operational issues on their part, or external factors such as legal or regulatory changes or market volatility, have in the past, and may in the future impair our ability to execute our clients’ orders. Should a Liquidity Provider experience a disruption of service or reduced capacity or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particularly during peak trading hours, our ability to execute customer orders could be compromised and could have an adverse impact on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Risks Related to Regulation of PFOF</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recent years, PFOF practices have drawn heightened scrutiny from the U.S. Congress, the SEC, state regulators, and other regulatory and legislative authorities. For example, in December 2020, we settled an SEC investigation into our best execution and PFOF practices, and a settlement of a consolidated putative class action in federal district court relating to the same factual allegations was approved by the court in June 2026. Additionally, since July 2023, we have been cooperating with an investigation being conducted by the New York Attorney General concerning brokerage execution quality. We also face the risk that the SEC, other regulatory authorities, or legislative bodies might adopt additional regulation or legislation relating to, or which may otherwise impact, PFOF practices as a result of such heightened scrutiny or otherwise. For instance, in March 2024, the SEC adopted amendments to enhance order execution disclosures under Rule 605 of Regulation NMS (the “Order Execution Disclosure Rules”), which will apply for the first time to RHF and RHS beginning August 1, 2026.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August 1, 2026, the Order Execution Disclosure Rules will require brokers, including RHF and RHS, to make new, publicly available execution quality disclosures that will allow customers, regulators, academics, the press, and others to compare execution quality between brokers. Execution quality of brokers may vary based on the trading characteristics of the broker’s customers, including, but not limited to, the average number of shares traded, the types of securities (e.g., large cap, small cap, more liquid or less liquid, average spread size, etc.), what types of orders customers submit (e.g., market or limit) and when customers place their trades (e.g., market open, during the regular session or market close). Depending on how our order execution quality compares to other brokers, we could be subject to negative press or critical academic studies that could result in regulatory scrutiny or civil actions that may result in negative consequences for our business and profitability in both the near-term and long-term.</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result of the SEC’s amended round lot definition (which was implemented in November 2025) and the addition of odd-lot information to the SIPs’ reporting obligations (which became effective on April 27, 2026), the SIPs have begun making information about smaller-sized orders publicly available, which may result in the contraction of spreads across many securities, and we expect may lead to a decrease in the PFOF earned from such orders. Any new or heightened PFOF regulation, including future compliance dates in connection with implementation of the September 2024 Final Rules, could result in increased compliance costs and otherwise could materially decrease our transaction-based revenue, might make it more difficult for us to expand our platforms in certain jurisdictions, and could require us to make significant changes to our revenue model, which might not be successful. Because some of our competitors either do not engage in PFOF or derive a lower percentage of their revenues from PFOF than we do, any legal or regulatory change that impacts PFOF could have an outsized impact on our results of operations. Furthermore, legal or regulatory changes could also increase our risk of potential regulatory violations and civil litigation, which could result in fines or other penalties, as well as negative publicity.</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Risks Related to Negative Publicity Associated with PFOF, Transaction Rebates or our Liquidity Providers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any negative publicity surrounding PFOF or Transaction Rebate practices generally, or our implementation of these practices, could harm our brand and reputation. For example, as a result of the Early 2021 Trading Restrictions (as defined in Note 15 - Commitments &amp; Contingencies to our unaudited condensed consolidated financial statements in this Quarterly Report), we faced allegations that our decision to temporarily prevent our customers from purchasing specified securities was influenced by our relationship with certain market makers. Additionally, as registered broker-dealers, market makers must comply with rules and regulations that are generally intended to prohibit them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 Developments in any proposals related to the regulation of PFOF or market structure design have generated and might continue to generate negative publicity associated with PFOF.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if our customers or potential customers believe that they might get better execution quality (including better price improvement) directly from our competitors that have different execution arrangements, or if our customers perceive our PFOF practices to create a conflict of interest between us and them, or if they begin to disfavor the specific market makers with which we do business due to any negative media attention or otherwise, they might decide to limit or cease the use of our platforms. Some customers might prefer to transact through our competitors that do not engage in PFOF or Transaction Rebate practices or engage in them differently than we do. Any such loss of customer engagement as a result of any negative publicity associated with PFOF or Transaction Rebate practices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RHC allows customers to choose a fee-based model in lieu of a liquidity provider rebate-based model (under which RHC receives Transaction Rebates from Liquidity Providers) for cryptocurrency orders routed to cryptocurrency exchanges for execution. This optionality has in the past, and may in the future, lead to negative publicity due to potential differences in total costs for customers under the two models. Based on the nature of these cost differences, concerns have risen about (i) the use of PFOF with respect to other asset classes like equities and options and/or (ii) the replacement of Transaction Rebates with customer fees for cryptocurrency orders routed to cryptocurrency exchanges for execution. Negative publicity associated with this optionality has in the past had, and may in the future have, an adverse impact on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are directly and indirectly exposed to fluctuations in interest rates, and rapidly changing interest rate environments have in the past and could in the future reduce our net interest revenues and otherwise result in reduced profitability.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portion of our revenue comes from interest income earned from our corporate cash and investment portfolio, our securities lending activities, cash sweep, and from interest-rate sensitive assets, including receivables from users’ margin-borrowing and other assets underlying the customer balances we hold on our balance sheets as customer accounts. Interest rates are the key driver of our net interest income and are subject to many factors beyond our control. Reductions in interest rates have negatively impacted, and a return to a low interest rate environment would negatively impact our total net revenues, net income (loss), and cash flows, prior to any income tax effects, and adversely impact our customers’ returns on their cash deposits. Changes to the level or mix of interest earning balances could also negatively impact our total net revenues, net income (loss), and cash flows, prior to any income tax effects, if customers react to the rising interest rate environment by moving cash that would have otherwise been spent on services or products with higher revenue potential for Robinhood into Robinhood accounts that offer customers high interest rates. For a more detailed discussion of interest rate risk and an estimate of how hypothetical 50, 100 or 150 basis point increases or decreases in interest rates to the period end balances of our interest-earning assets and liabilities could affect our total net revenues, net income (loss), and cash flows, prior to any income tax effects, see “Quantitative and Qualitative Disclosures about Market Risk-Interest Rate Risk” elsewhere in this report.</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Higher interest rates also lead to higher payment obligations by our customers to us and to their creditors under mortgage, credit card, and other consumer and merchant loans, which might reduce our customers’ ability to satisfy their obligations to us, including failing to pay for securities purchased, meet minimum credit card payments, deliver securities sold, or meet margin calls, and therefore lead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increased delinquencies, charge-offs, and allowances for loan and interest receivables, which could have an adverse effect on our net income. Fluctuations in interest rates could adversely impact our customers’ general spending levels and ability and willingness to invest and spend through our platforms.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As registered broker-dealers, we are subject to “best execution” requirements under common law agency principles, fiduciary obligations, and FINRA rules. We could be penalized if we fail to comply with these requirements and these requirements might be modified in the future in a way that could harm our business.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registered broker-dealers, we are subject to “best execution” requirements under common law agency principles, fiduciary obligations, and FINRA rules, which require us to seek to obtain the best execution of customer orders. We have in the past and continue to be subject to investigations related to our best execution practices. We may face additional investigations and/or a risk of penalties in the future related to our best execution practices.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might be adversely affected in the future by legal or regulatory changes related to our obligations with regard to best execution. Receipt of PFOF and best execution requirements have drawn heightened attention and scrutiny from the U.S. Congress, the SEC, and other legislative and regulatory authorities, who have at times alleged that PFOF arrangements, like those we have with our Liquidity Providers, can result in harm to customer execution quality. There is a risk that these legislative and regulatory authorities might adopt new laws or regulations relating to PFOF practices and best execution requirements as a result of such heightened scrutiny or otherwise. For instance, the SEC previously proposed rules relating to best execution requirements in December 2022 but formally withdrew them in June 2025. In June 2026, the SEC proposed rescinding Rule 611 of Regulation NMS (the "Order Protection Rule") and Rule 610(e) of Regulation NMS (which prohibits locked and crossed markets). If adopted as proposed, the rules would have a variety of effects, including shifting regulatory scrutiny away from compliance with Rule 611's intermarket price protections toward FINRA’s best execution rule, thus potentially resulting in increased regulatory focus on our order routing practices and execution quality under our best execution obligations and could require us to enhance our related policies, procedures, and documentation and increase our compliance costs. Any such new laws, regulations, or regulatory expectations could have a material adverse impact on our business and one of our primary sources of revenue.</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have in the past needed, and may in the future need, additional capital to provide liquidity and support business growth and objectives, and this capital might not be available to us on reasonable terms, if at all, might result in stockholder dilution, or might be delayed or prohibited by applicable regulations.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Helvetica;sans-serif" w:hAnsi="Helvetica;sans-serif"/>
          <w:b w:val="false"/>
          <w:color w:val="000000"/>
          <w:sz w:val="20"/>
        </w:rPr>
        <w:t xml:space="preserve">Maintaining adequate liquidity is crucial to our securities brokerage, cryptocurrency and money services business operations, including key functions such as transaction settlement, custody requirements, and margin lending. The SEC and FINRA impose requirements governing the maintenance of specific levels of net capital by securities broker-dealers. We meet our liquidity needs primarily from working capital and cash generated by customer activity, as well as from external debt and equity financing, and with respect to our Robinhood Credit business, asset securitizations. Despite these resources, increases in the number of customers, and fluctuations in customer cash or deposit balances, as well as market conditions or changes in regulatory treatment of customer deposits, could affect our ability to meet our liquidity needs. We might be adversely affected by regulatory changes related to our obligations with regard to capital maintenance requirements. For example, in December 2024, the SEC adopted amendments to the broker-dealer customer protection rule (SEC Rule 15c3-3) to require certain broker-dealers to compute their customer and broker-dealer reserve deposit requirements, and to make any required deposits, daily rather than weekly. </w:t>
      </w:r>
      <w:r>
        <w:rPr>
          <w:rFonts w:ascii="Helvetica;sans-serif" w:hAnsi="Helvetica;sans-serif"/>
          <w:b w:val="false"/>
          <w:color w:val="303030"/>
          <w:sz w:val="20"/>
          <w:shd w:fill="FFFFFF" w:val="clear"/>
        </w:rPr>
        <w:t xml:space="preserve">While these amendments required broker-dealer compliance by June 2026, we proactively began implementing these daily computations and required deposits in January 2026. This transition to daily computations has increased the operational complexity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pPr>
      <w:r>
        <w:rPr>
          <w:rFonts w:ascii="Helvetica;sans-serif" w:hAnsi="Helvetica;sans-serif"/>
          <w:b w:val="false"/>
          <w:color w:val="303030"/>
          <w:sz w:val="20"/>
          <w:shd w:fill="FFFFFF" w:val="clear"/>
        </w:rPr>
        <w:t>and burden related to such calculations and funding.</w:t>
      </w:r>
      <w:r>
        <w:rPr>
          <w:color w:val="000000"/>
        </w:rPr>
        <w:t xml:space="preserve"> </w:t>
      </w:r>
      <w:r>
        <w:rPr>
          <w:rFonts w:ascii="Helvetica;sans-serif" w:hAnsi="Helvetica;sans-serif"/>
          <w:b w:val="false"/>
          <w:color w:val="000000"/>
          <w:sz w:val="20"/>
        </w:rPr>
        <w:t xml:space="preserve">Additionally, there is a lack of definitive guidance on whether or how these rules may apply to most cryptocurrencies, and we might be adversely affected in the future if the SEC determines that they do.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our clearing and carrying broker-dealer is subject to cash deposit and collateral requirements under the rules of the clearinghouses in which it participates (including DTC, NSCC, and OCC), and such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 limit clearinghouse deposit requirements. 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 litigation, and regulatory and U.S. Congressional inquiries and investigations, and necessitated additional capital raising on our part. We face a risk that similar events could occur in the future and, if we are unable to satisfy our deposit requirements, the clearinghouse may cease to act for us and may liquidate our unsettled clearing portfolio. RHD also needs to hold capital and make deposits with respect to certain event contracts in accordance with applicable CFTC regulations and the rules of Rothera E&amp;C, ForecastEx, LLC, Kalshi Klear LLC, and KalshiEx LLC.</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RHEU and Bitstamp Europe S.A. are licensed crypto asset service providers under the EU’s MiCA, the provisions of which went into effect as of December 30, 2024. Among other requirements, RHEU and Bitstamp Europe S.A. are subject to mandatory capital requirements that vary based on the services we provide. Failure to meet these capital requirements or any future increases to these requirements could limit our ability to obtain or maintain authorization, constrain operational flexibility, or result in penalties or sanctions.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activities, regulatory prohibitions against certain business practices, increased regulatory inquiries and reporting requirements, increased costs, fines, penalties or other sanctions, including suspension or expulsion by federal or state regulators or SROs, and could ultimately lead to the liquidation of our broker-dealers or other regulated entities. Factors that might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Liquidity Providers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and/or excessive withdrawals or redemptions, or a suspension of redemptions or withdrawals of customer assets. For example, in May 2025, the UK’s FCA published three papers which announced new proposals for certain aspects of the prudential requirements for crypto firms. These proposals are largely modeled on the requirements for investment firms and, if adopted, would, among other requirements, require authorized crypto asset firms to hold a required minimum amount of regulatory capital. In particular, any increase in capital or liquidity requirements under the proposed FCA regime could reduce available liquidity and constrain flexibility in Bitstamp’s operations. If adopted, these regulations could also limit our ability to obtain or maintain authorization, constrain operational flexibility, affect our ability to raise capital or result in penalties or sanctions.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might also need additional capital to continue to support our business and any future growth and to respond to competitive challenges, including the need to promote our products and services,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new products and services, enhance our existing products, services and operating infrastructure, acquire and invest in complementary businesses and technologies, and to fund payments on our obligations at the parent company level, such as the income tax withholding and remittance obligations that arise upon the vesting and/or settlement of our outstanding RSUs, and any debt obligations we might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When available cash is not sufficient, we might seek to engage in equity or debt financing to secure additional funds. Additionally, we might seek to fund our Robinhood Credit business through securitizations, including through warehouse facilities or the issuance of asset-backed securities.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Unfavorable media coverage and other events that harm our brand and reputation have in the past, and may in the future, adversely affect our revenue and the size, engagement, and loyalty of our customer base.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brand and our reputation are two of our most important assets. Our ability to attract, build trust with, engage, and retain existing and new customers might be adversely affected by events that harm our brand and reputation, such as public complaints and unfavorable media coverage about us, our platforms, and our customers, even if factually incorrect or based on isolated incidents.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receive a high volume of media coverage, which has included, and might continue to include, negative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platforms have in the past and are likely in the future to receive extensive media attention. Furthermore, any negative experiences our customers have in connection with their use of our products and services, including as a result of any such performance problems, have in the past, and may in the future diminish customer confidence in us and our products and services, which have in the past, and may in the future result in unfavorable media coverage or publicity.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Damage to our brand and reputation could also be caused by: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cybersecurity attacks, privacy or data security breaches, or other security incidents, payment disruptions or other incidents that impact the reliability of our platforms;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actual or alleged illegal, negligent, reckless, fraudulent or otherwise inappropriate behavior by our management team, our other employees or contractors, our customers or third-party service providers or partners as well as complaints or negative publicity about such individuals or companies;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future restructurings or any similar such reductions or activities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any repeat imposition of temporary trading restrictions (similar to our Early 2021 Trading Restrictions), or any outright failure to meet our deposit requirements;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litigation, regulatory actions, settlements, or investigations involving our platforms or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regulators requesting or requiring us to cease offering specific products or services;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any failures to comply with legal, tax and regulatory requirements;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any perceived or actual weakness in our financial strength or liquidity;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any regulatory action or settlement that results in changes to, or prohibits us from offering, certain features, products or services;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any new policies, features, products, services, or initiatives, or changes to our policies, features, products, services, or initiatives, that customers or others perceive as overly restrictive, unclear, inconsistent with our values or mission, or not clearly articulated;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 failure to operate our business in a way that is consistent with our values and mission;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inadequate or unsatisfactory customer support experiences;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negative responses by customers, regulators, or other third parties to our business model or to particular features, products or services;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 failure to adapt to new or changing customer preferences;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decision to offer products or services or participate in initiatives viewed by some as controversial;</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inability to successfully expand into new markets or make successful acquisitions of, or investments in, other companies, products or technologies;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 prolonged weakness in popular equities or cryptocurrencies specifically or in U.S. or international equity and cryptocurrency markets generally, or a sustained downturn in the U.S. or international economies;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negative claims or publicity involving our culture or businesses, regardless of whether such claims are accurate;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any failures to effectively moderate, or the perception of failing to effectively moderate, user-generated content on our in-app platforms, including Robinhood Social, that lead to harassment, market manipulation schemes, or other inappropriate content or conduct that could subject us to platform liability claims or viral negative publicity;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design-based liability claims, including with respect to design decisions regarding engagement-driven technology;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any of the foregoing with respect to our competitors, to the extent the resulting negative perception affects the public’s perception of us or our industry as a whole.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These and other events could negatively impact the willingness of our existing customers, and potential new customers, to do business with us, which could adversely affect our trading volumes and number of Funded Customers, as well as our ability to recruit and retain personnel, any of which could have an adverse effect on our business, financial condition, and results of operations, as well as the trading price of our Class A common stock.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could incur substantial losses from our cash and investment accounts if one or more of the financial institutions that we use fails or is taken over by the FDIC.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Helvetica;sans-serif" w:hAnsi="Helvetica;sans-serif"/>
          <w:b w:val="false"/>
          <w:color w:val="000000"/>
          <w:sz w:val="20"/>
        </w:rPr>
        <w:t>We maintain cash and investment accounts, as well as restricted cash as certificates of deposits for facility leases and other contractual obligations, at multiple financial institutions in amounts that are significantly in excess of the limits insured by the FDIC. In spring 2023, certain U.S. banks failed and were taken over by the FDIC (the “2023 Banking Events”). If any of the financial institutions where we hold significant deposits were to fail or be taken over by the FDIC, our ability to access such accounts has in the past and could be in the future temporarily or permanently limited, which could adversely affect our business. In particular, while we have taken steps to help ensure that the loss of all or a significant portion of any uninsured amount would not have an adverse effect on our ability to pay our operational expenses or make other payments, the failure of a financial institution where we hold significant deposits has in the past and may in the future require us to move funds to another bank, which could cause a temporary delay in making payments to our vendors and employees, or under other contractual arrangements, and</w:t>
      </w:r>
      <w:r>
        <w:rPr>
          <w:color w:val="000000"/>
        </w:rPr>
        <w:t xml:space="preserve"> </w:t>
      </w:r>
      <w:r>
        <w:rPr>
          <w:rFonts w:ascii="Helvetica;sans-serif" w:hAnsi="Helvetica;sans-serif"/>
          <w:b w:val="false"/>
          <w:color w:val="000000"/>
          <w:sz w:val="20"/>
        </w:rPr>
        <w:t>cause other operational inconveniences. Additionally, any losses or delay in access to funds as a result of such events could have a material adverse effect on our ability to meet contractual obligations, earnings, financial condition, cash flows, and stock price.</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business has been and might continue to be harmed by changes in business, economic, or political conditions that impact global financial markets, or by a systemic market event.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we are a financial services company, our business, results of operations, and reputation are directly and indirectly affected by elements beyond our control, such as financial market volatility (such as we previously experienced during the COVID-19 pandemic or have experienced and may experience in the future due to trade policy shifts and the imposition or escalation of tariffs implemented by the U.S. and other countries or blocs, including China, Canada, and the EU, and those countries’ or blocs’ responses to such shifts and tariffs), economic and political conditions including unemployment rates, inflation, tax and interest rates, geopolitical conflicts, such as the Russian invasion of Ukraine and ongoing events in the Middle East, significant increases in the volatility or trading volume of particular securities, cryptocurrencies, or Futures (such as we experienced during the meme stock events of early 2021 and the Dogecoin surge of mid-2021), broad trends in business and finance, actual events or concerns involving liquidity, defaults, or non-performance by third-party financial institutions or transactional counterparties (such as the 2023 Banking Events), changes in volume of securities, cryptocurrencies, or Futures trading generally and changes in the markets in which such transactions occur, and changes in how such transactions are processed. These elements can arise suddenly, and the full impact of such conditions could have an adverse effect on our business results or remain uncertain indefinitely. Because a large percentage of our customers are first-time investors, we might be disproportionately affected by declines in investor confidence caused by adverse economic conditions. A prolonged market weakness, such as a slowdown causing reduced trading volume in securities, derivatives, or cryptocurrency markets, has resulted, and could result in the future in reduced revenues and adversely affect our business, financial condition, and results of operations. Conversely, significant upturns in such markets or conditions might cause individuals to be less proactive in seeking ways to improve the returns on their trading or investment decisions and, thus, decrease the demand for our products and services.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concerns regarding the U.S. and/or international financial systems, such as in connection with the 2023 Banking Events, could result in less favorable commercial financing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available to us, including higher interest rates or costs and tighter financial and operating covenants, or systemic limitations on our access to credit and liquidity sources.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of these changes could cause our future performance to be uncertain or unpredictable, and could have an adverse effect on our business and results of operations.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future success depends on the continuing efforts of our key employees and our ability to attract and retain senior management and other highly skilled personnel.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success depends, in part, on our ability to continue to identify, attract, develop, integrate and retain qualified and highly skilled personnel. In particular, our CEO, Vladimir Tenev, has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agreements with some of our key personnel, most of these agreements have no specific duration and are terminable by either party at will and our senior management team has experienced recent changes. We do not maintain key person life insurance policies on any of our employees.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might not be successful in attracting, integrating or retaining qualified personnel to fulfill our current or future needs. In particular, there continues to be particularly high competition in the San Francisco Bay Area for software engineers, computer scientists and other technical personnel. This competition may increase further due to ongoing changes in U.S. immigration policies and enforcement practices, particularly given the foreign national employee population from which we and other companies hire for these positions, and may present increased challenges to attracting, integrating or retaining qualified personnel. Given our heavy emphasis on SBC, the performance of our stock price has in the past had, and could continue to have, a significant impact on our ability to recruit, retain, and motivate highly skilled personnel. Additionally, our working model may negatively impact our ability to retain and recruit highly skilled personnel, especially to the extent other companies continue to allow more flexible remote working models. Attrition and workforce reorganizations and reductions have also and might continue to adversely affect our reputation among job seekers, demoralize our remaining employees, and result in a loss of institutional know-how, reduced productivity, slower customer service response, reduced effectiveness of internal compliance and risk-mitigation programs, and cancellations of or delays in completing new product developments and other strategic projects. For example, in June 2026, we announced a reduction in force of approximately 10% of our full-time employees, and as in the periods immediately following our prior restructurings, we may experience higher rates of voluntary employee attrition and declines in reported employee job satisfaction. We might continue to experience difficulty in hiring and retaining highly skilled employees with appropriate qualifications.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believe that a critical component of our efforts to attract and retain employees has been our corporate culture of innovation. We have invested substantial time and resources in building our team. As we continue to expand internationally, we will face new challenges to maintain our corporate culture of innovation among a larger number of geographically dispersed and remote employees, as well as other service providers. Failure to preserve our company culture could harm our ability to retain and recruit personnel.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Acquisitions of, or investments in, other companies, products or technologies have in the past and could in the future require significant management attention, disrupt our business, dilute stockholder value, and adversely affect our results of operations.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part of our business strategy, we have made and might continue to make acquisitions of, or investments in, other compatible companies, products, technologies, or specialized employees. We also have entered into and might continue to enter into relationships with other businesses in order to expand our products and services. Negotiating these transactions can be time-consuming, difficult, and expensive. Our ability to close these transactions has been and might in the future be subject to third-party approvals and customary closing conditions, such as governmental and other regulatory approvals, some of which are beyond our control, and may take longer than expected to be obtained, if at all. If pending transactions are not completed, we have in the past and could in the future be subject to losses from legal fees and other expenses as well as impairment charges.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risks, operating difficulties and expenditures prior to and following closing, including disrupting our ongoing operations, diverting management from their primary responsibilities, subjecting us to additional liabilities, compliance obligations and/or regulatory costs and penalties, exposing us to increased regulatory risk in connection with acquired companies, increasing our expenses, and adversely impacting our business, financial condition and results of operations. In connection with such acquisitions, we have encountered and may encounter in the future challenges in successfully integrating the acquired personnel, operations, products, and technologies, including in connection with our recent acquisitions of TradePMR, Bitstamp, and WonderFi, and have and may have in the future difficulty effectively managing the combined business following such acquisitions. Moreover, the anticipated benefits of any acquisition or investment might not be realized, the acquisition or investment might not perform in accordance with expectations, and we might be exposed to unknown liabilities or risks.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Rothera, owned and operated as a joint venture with SIG, operates a futures and derivatives exchange and clearinghouse through its subsidiary, Rothera E&amp;C. We do not wholly own or operationally control Rothera and its subsidiaries, and actions taken by Rothera and its subsidiaries could adversely affect our business, financial condition, results of operations, and reputation.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Helvetica;sans-serif" w:hAnsi="Helvetica;sans-serif"/>
          <w:b w:val="false"/>
          <w:color w:val="000000"/>
          <w:sz w:val="20"/>
        </w:rPr>
        <w:t>On November 19, 2025, Robinhood invested in Rothera, a joint venture established to operate an independent and institutional-grade futures and derivatives exchange and clearinghouse. On January 20, 2026, Rothera acquired 90% of the issued and outstanding equity of Rothera E&amp;C, a CFTC-licensed DCM, DCO, and SEF.</w:t>
      </w:r>
      <w:r>
        <w:rPr>
          <w:color w:val="000000"/>
        </w:rPr>
        <w:t xml:space="preserve"> </w:t>
      </w:r>
      <w:r>
        <w:rPr>
          <w:rFonts w:ascii="Helvetica;sans-serif" w:hAnsi="Helvetica;sans-serif"/>
          <w:b w:val="false"/>
          <w:color w:val="000000"/>
          <w:sz w:val="24"/>
        </w:rPr>
        <w:t>Rother</w:t>
      </w:r>
      <w:r>
        <w:rPr>
          <w:rFonts w:ascii="Helvetica;sans-serif" w:hAnsi="Helvetica;sans-serif"/>
          <w:b w:val="false"/>
          <w:color w:val="000000"/>
          <w:sz w:val="20"/>
        </w:rPr>
        <w:t xml:space="preserve">a E&amp;C offers futures and derivative products, including prediction markets.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Rothera is an independent entity with its own management team and employees responsible for the day-to-day operations of the joint venture. While Robinhood is entitled to designate a majority of the members of the board of directors of Rothera and one representative to serve on the board of directors of Rothera E&amp;C, and exercises governance control at Rothera’s board level and as otherwise set forth in Rothera’s governance documents, we do not have decision-making authority over all operational, strategic, or commercial decisions made by Rothera or any of its subsidiaries, and certain decisions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be subject to applicable regulatory requirements or require the consent of SIG and other holders of the equity of Rothera and its subsidiaries, any of whom may have economic or other business interests that are inconsistent with ours.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we do not own a majority of Rothera’s equity interests and Rothera’s day-to-day operations are conducted by its management team, we designate the majority of the members of its board of directors, which exercises governance control over Rothera, and thus consolidate the financial results of Rothera and its subsidiaries into our consolidated financial statements. As a result, any failure by Rothera or its subsidiaries to operate effectively, comply with applicable laws or regulations, maintain adequate internal controls, manage liquidity or capital requirements, or successfully execute their business strategy, could adversely affect our business, financial condition, results of operations, and reputation.</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currently operate in certain international markets and plan to further expand our international operations, which exposes us to significant new risks, and our international expansion efforts might not succeed.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currently only offer select services to the public outside the U.S. in certain jurisdictions, including brokerage and futures services in the U.K. through RHUK, financial instruments, brokerage, and crypto services in the EU through RHEU, cryptocurrency trading services in Canada through CCML, a wholly owned subsidiary of WonderFi, which we acquired in June 2026, and our Robinhood Wallet, which is available in over 150 countries and offered through our Cayman Islands subsidiary, Robinhood Non-Custodial Ltd. In addition, Bitstamp, which we acquired in June 2025 and expect to help accelerate our international growth, currently has entities operating internationally in the U.K., EU, Singapore, and the British Virgin Islands, and also offers services in other countries globally.</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intend to continue expanding our operations outside of the U.S. International expansion requires significant resources and management attention and subjects us to additional regulatory, economic, operational, and political risks on top of those we already face in the U.S. There are significant risks and costs inherent in establishing and doing business in international markets, including: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difficulty establishing and managing international entities, offices, and/or operations and the increased operations, travel, infrastructure, and legal and compliance costs associated with operations, entities, and/or people in different countries or regions;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need to understand, interpret and comply with local laws, regulations, and customs in multiple jurisdictions, including laws and regulations governing cryptocurrency-related, credit, payments services, derivatives (including crypto-asset perpetuals), tokenized securities, broker-dealer, money transmitter, or regulated entity practices, some of which do or might require permissions, registrations, authorizations, licenses or consents, or are or might be different from, or conflict with, those of other jurisdictions or foreign cybersecurity, data privacy, or labor and employment 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the additional complexities of any merger or acquisition activity internationally, which could subject us to additional regulatory scrutiny, approvals, obligations, costs and penalties or risk;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the need to adapt, localize, and position our products for specific countries (also known as “product-market fit”);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increased exposure to foreign fraud vectors;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increased competition from local providers of similar products and services;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challenges of obtaining, maintaining, protecting, defending, and enforcing intellectual property rights abroad, including the challenge of extending or obtaining third-party intellectual property rights to use various technologies in new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the need to offer customer support and other aspects of our offering (including websites, articles, blog posts, and customer support documentation) in various languages or locations;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compliance with anti-money laundering, sanctions, anti-bribery, and anti-corruption laws, such as the FCPA and equivalent AML and sanctions rules and requirements in local markets, by us, our employees, and our business partners;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the need to recruit and manage staff in new countries and regions to support international operations, and comply with employment law, tax, payroll, and benefits requirements in multiple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the need to enter into new business partnerships with third-party service providers in order to provide products and services in the local market, or to meet regulatory obligations;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varying levels of internet technology adoption and infrastructure, and increased or varying network and hosting service provider costs and differences in technology service delivery in different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fluctuations in currency exchange rates, inflation, and tariffs and trade policy shifts could limit our ability to operate efficiently across or within borders, and the requirements of currency control regulations, which might restrict or prohibit conversion of other currencies into U.S. dollars;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double taxation of our international earnings and potentially adverse tax consequences due to requirements of or changes in the income and other tax laws of the U.S. or the international jurisdictions in which we operate;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political or social change or unrest or economic instability in a specific country or region in which we operate.</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more limited experience with international legal and regulatory environments and market practices, and we might not be able to enter, penetrate, or successfully operate in the markets we choose. In addition, we might incur significant expenses as a result of our international expansion, and we might not be successful, which could lead to substantial losses.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are exposed to funding transaction losses due to reversals or insufficient funds.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Some of our products and services are paid for by electronic transfer from customers’ bank accounts, which exposes us to risks associated with reversals, disputes, and insufficient funds. Unwinding of funds transfers due to reversals, disputes,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risks may be amplified as we continue to expand our operations internationally and increase our exposure to foreign fraud vectors.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working model, which allows a subset of our employees to work remotely, subjects us to heightened operational risks.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currently have a large segment of employees who work remotely and are not required to come into the office on a daily basis. Allowing employees to work remotely subjects us to heightened operational risks. For example, technologies in our employees’ homes might not be as robust or effective as in our offices and could lead to lower productivity and/or increased vulnerability to cybersecurity attacks or other privacy or data security incidents. There is no guarantee that the data security and privacy safeguards we have put in place will be completely effective or that we will not encounter risks associated with employees accessing company data and systems remotely. Additionally, the homes of certain of our employees who work remotely could be treated as “residential supervisory locations” subject to inspections on a regular periodic schedule pursuant to FINRA’s Residential Supervisory Location Designation Rule, which in turn has required certain operational changes and compliance adjustments. Non-compliance with the Residential Supervisory Location Designation Rule could subject us to fines, penalties or enforcement actions. We also face challenges due to the need to operate with a dispersed and remote workforce, as well as increased costs related to business continuity initiatives.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Allowing for remote work has in the past made, and may continue to make, it more difficult for us to preserve our corporate culture of innovation and our employees might have decreased opportunities to collaborate in meaningful ways. Further, we cannot guarantee that requiring a subset of employees to work in-office, or allowing certain employees to continue to work remotely, will not have a negative impact on employee morale or productivity. Any failure to overcome the challenges presented by our working model could harm our future success, including our ability to retain and recruit personnel, innovate and operate effectively, maintain product development velocity, and execute on our business strategy.</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val="false"/>
          <w:color w:val="000000"/>
          <w:sz w:val="28"/>
        </w:rPr>
      </w:pPr>
      <w:r>
        <w:rPr>
          <w:rFonts w:ascii="Helvetica;sans-serif" w:hAnsi="Helvetica;sans-serif"/>
          <w:b w:val="false"/>
          <w:color w:val="000000"/>
          <w:sz w:val="28"/>
        </w:rPr>
        <w:t>Risks Related to Regulation and Litigation</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business is subject to extensive, complex, and changing laws and regulations, and related regulatory proceedings and investigations. Changes in these laws and regulations, or our failure to comply with these laws and regulations, could harm our business.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a wide variety of local, state, federal, and international laws, regulations, licensing schemes, and industry standards in the U.S., the U.K., the EU, the United Arab Emirates, Singapore, Canada, the British Virgin Islands, and in other countries and regions in which we operate. These laws, regulations, and standards govern numerous areas that are important to our business, and include, or might in the future include, those relating to all aspects of financial services, the securities and futures markets, investment advisory, investment companies, money transmission, the origination, marketing, servicing, and collection of consumer debt, foreign exchange, payments services and products (such as payment processing, settlement services, and credit cards), cryptocurrency (including crypto-asset perpetuals), derivatives, trading in shares and fractional shares, fraud detection, consumer protection, AML, escheatment, sanctions regimes and export controls, data privacy, data protection, custodial accounts, data security, as well as climate risk and environmental impact, including with respect to disclosure of GHG emissions and other metrics related to climate change.</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For example, after announcing in March 2024 the launch of the Robinhood Gold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Card, which is offered through Robinhood Credit exclusively to Robinhood Gold Subscribers and provides rewards via the Robinhood Gold Credit Card Rewards Program, we received requests for information from the MSD related to the Robinhood Gold subscription service and the Robinhood Gold Card. 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 We may also be subject to additional audits and investigations relating to government contracts, and any violations could result in various civil and criminal penalties and administrative sanctions, including termination of contracts, suspension of payments, payment of fines, and suspension or debarment from future government business, as well as harm to our reputation and financial results. In addition, the introduction of Robinhood Custodial Accounts subjects us to a complex state regulatory framework including, but not limited to, regulations related to the legal age of termination, a beneficiary’s rights at certain ages, and rules for account administration. These regulations vary by state and, as a result, we face operational risks in accurately administering these accounts and transitioning assets when a beneficiary reaches adulthood. If our systems fail to effectively manage these risks or fail to properly restrict access to unsupported investment products and features, we could face regulatory scrutiny, customer disputes, and reputational harm.</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operate in highly regulated industries and, despite our efforts to comply with applicable legal requirements, like all companies in our industries,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might fail to establish and enforce procedures that comply with applicable legal and regulatory requirements. We might be adversely affected by new laws or regulations, changes in the interpretation of existing laws or regulations, or more rigorous enforcement. Furthermore, the U.S. Congress continues to consider potential legislation relating to digital assets and cryptocurrencies. For example, on July 17, 2025, the House of Representatives passed the CLARITY Act, which seeks to provide for a system of regulation of the offer and sale of digital assets by the SEC and CFTC and establish a provisional registration regime. The CLARITY Act is currently under consideration by the U.S. Senate, where the Senate Committee on Banking, Housing, and Urban Affairs voted on May 14, 2026, in favor of advancing its proposed “Digital Asset Market Clarity Act” that builds upon the CLARITY Act. On January 29, 2026, the Senate Committee on Agriculture, Nutrition, and Forestry voted in favor of advancing its proposed “Digital Commodity Intermediaries Act,” which likewise builds upon the CLARITY Act. The Senate released a revised and consolidated draft of the two bills on July 22,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on July 18, 2025, the President signed into law the GENIUS Act, which establishes a federal regulatory framework for “payment stablecoins” and their issuers, as well as contemplates scope for state-only regulation. The GENIUS Act is currently scheduled to become effective on January 18, 2027. If the CLARITY Act or any of the related bills discussed above are enacted, or as the GENIUS Act is implemented, we could be required to make significant operational changes and incur increased compliance costs. For example, we support USDG in connection with Robinhood Earn, which allows eligible customers to engage in onchain lending of USDG through their self-custody wallet in the Robinhood app through integration services provided by Robinhood Non-Custodial Ltd., via an independent third-party protocol. Implementation of the GENIUS Act could significantly increase our compliance obligations with respect to USDG, and the compliance obligations of Paxos Digital Singapore Pte. Ltd. (“Paxos”), requiring us to incur increased compliance costs. Our ability to offer certain products may also be impacted by potential legislation or actions taken by government regulators. For example, on March 23, 2026, the Prediction Markets Are Gambling Act was introduced in the U.S. Senate to amend the CEA to prohibit certain event contracts. If enacted, proposed legislation could lead to the suspension or termination of certain product offerings, which could materially decrease revenue in our prediction markets business. Additionally, regulators have requested and, in the future, could request or require us to cease offering specific products or services. Such regulatory actions have led, and in the future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lead, to the suspension or termination of product offerings, which have resulted, and may in the future result, in increased compliance costs, financial losses and negative publicity. For example, after the U.S. District Court for the District of Nevada denied our motion for a preliminary injunction on November 25, 2025, we agreed to cease offering new sports-related event contracts in Nevada as of December 1, 2025, and to take action to explore unwinding longer-duration open sports-related event contracts in Nevada. For additional information, refer to Note 15 - Commitments &amp; Contingencies to our unaudited condensed consolidated financial statements in this Quarterly Report.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Broker-Dealer, FCM, Investment Adviser, and Insurance Regulations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broker-dealers, our U.S. based subsidiaries RHF, RHS, and TradePMR are subject to extensive regulation by federal and state regulators and SROs and are subject to laws and regulations covering all aspects of the securities industry. Similarly, our Singapore subsidiary, Robinhood Singapore Pte. Ltd., was granted a capital markets service license on July 1, 2026, and is subject to regulation by the MAS. Likewise, our subsidiary in Canada, CCML, which we acquired as part of our acquisition of WonderFi, is registered as an investment dealer with, and subject to regulation by, the CIRO. Similarly, our broker-dealer subsidiary in the U.K., RHUK, is subject to comprehensive regulation by the FCA, including the Consumer Duty, which requires regulated firms to, among other things, deliver good outcomes for retail customers. This includes outcomes relating to products and services, price and value, consumer understanding, and consumer support. Our TradePMR insurance agency subsidiary is subject to regulation by state insurance regulators. Federal and state regulators (and, in the case of RHUK, the FCA) and SROs, including the SEC and FINRA, can, 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 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 Our subsidiary RHD, which is registered with the CFTC as a FCM, is also subject to extensive regulation by federal and state regulators and SROs related to offering our customers Futures products. Rothera E&amp;C, a subsidiary of the Rothera joint venture, is also registered with the CFTC and operates as a regulated DCM, DCO, and SEF and is similarly subject to extensive regulation. Similarly, state attorneys general and other state regulators, including state securities and financial services regulators, can bring legal actions on behalf of their states to assure compliance with state laws. In addition, criminal authorities such as state attorneys general or the DOJ may institute civil or criminal proceedings against us for violating applicable laws, rules, or regulations. Our subsidiaries, RAM and RHV, are registered as investment advisers with the SEC under the Advisers Act. The Advisers Act mandates a variety of requirements for RIAs, including fiduciary duties, record-keeping, operational protocols, and disclosure obligations. The Advisers Act grants regulatory bodies such as the SEC significant administrative authority to govern investment advisory firms. If the SEC or other government agencies determine that RAM or RHV have not complied with relevant laws or regulations, they can impose fines, suspend registrants and individual employees, or enact other sanctions, which may include revoking RAM’s and RHV’s registrations under the Advisers Act.</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Money-Transmitter Regulation</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money transmitters, certain of our subsidiaries are subject to regulation, primarily at the state level. We are also subject to regulation by the CFPB. We have obtained or are in the process of obtaining licenses to operate as a money transmitter (or as another type of regulated financial services institution, as applicable) at the federal level and in the states where this is required. As a licensed money transmitter, we are subject to obligations and restrictions with respect to the movement of customer funds, reporting requirements, bonding requirements, and inspection by state regulatory agencies concerning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 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Certain Non-U.S. Regulations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investment firms and crypto-asset service providers, our subsidiaries RHEU, Bitstamp Europe S.A., Bitstamp Financial Services Ltd., Bitstamp Asia Pte. Ltd., Robinhood Singapore Pte. Ltd., and Bitstamp UK Limited are subject to extensive regulation by regulators in Lithuania, Luxembourg, Slovenia, Singapore, and the U.K., respectively. Specifically, our subsidiaries, RHEU and Bitstamp Europe S.A., are licensed crypto asset service providers under MiCA, the provisions of which went into effect as of December 30, 2024. Among other provisions, MiCA introduces a comprehensive authorization and compliance regime for crypto-asset service providers, including requirements related to governance, reserves, capital, asset safeguarding, segregation, and security. In addition, our subsidiaries, RHEU and Bitstamp Financial Services Ltd., are licensed under MiFID to provide brokerage, multilateral trading facilities and/or investment advisory services. Compliance with MiFID imposes extensive regulatory requirements on our operations in the EU, including obligations related to client classification, product governance, transaction reporting, and best execution standards. As a result of holding both MiCA and MiFID licenses, we are subject to comprehensive regulation covering virtually all financial and crypto activities within the EU. This dual licensing framework subjects us to broad and evolving supervisory regimes governing traditional financial instruments, crypto-assets, client protections, disclosure obligations, and operational standards. As we continue to evaluate and align our licensing and supervisory frameworks in the EU, including assessing the optimal structure for our MiCA and MiFID entities, we will face periods of overlapping or evolving regulatory oversight, which could result in increased compliance costs, operational burdens, and extended approval timelines in connection with any changes.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Certain of our subsidiaries, including Bitstamp Asia Pte. Ltd. and Bitstamp UK Limited, are registered or regulated in a number of other foreign jurisdictions and subject to oversight by the applicable regulators, including the MAS and the FCA. Robinhood Singapore Pte. Ltd., which offers brokerage services in Singapore, is separately regulated by the MAS and CCML, our investment dealer subsidiary in Canada, is separately regulated by the CIRO. These regulatory frameworks generally impose ongoing compliance requirements related to customer due diligence, AML, transaction monitoring, reporting, and governance. Maintaining and renewing any of these licenses, qualifications and approvals could impose substantial costs, delay or preclude planned expansions of business activities, require significant and costly operational changes, impose restrictions, limitations, or additional requirements on our business, products and services, or prevent us from providing our products or services in any given market. In addition, we could be subject to fines, enforcement actions and litigation if we are found to violate any of the requirements of such licenses, qualifications and approvals. There can be no assurance that we will be able to (or decide to) continue to apply for or obtain any such licenses, renewals, qualifications and approvals in any jurisdiction.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From time to time, we have been and currently are subject, and, given the highly regulated nature of the industries in which we operate, we expect that we will be subject in the future, to a number of legal and regulatory examinations and investigations arising out of our business practices and operations, conducted by the DOJ, SEC, FINRA, the CFTC and the NFA or other SROs or federal agencies such as OFAC, FinCEN, the FDIC or CFPB, state regulatory agencies, such as the MSD, the CAGO, the NYDFS, and international regulatory agencies, such as the U.K.’s FCA, Luxembourg’s Commission de Surveillance du Secteur Financier, Slovenia’s Agencija za trg vrednostnih papirjev, the MAS, the Bank of Lithuania and the CIRO, among other authorities. These examinations and investigations have in some instances in the past and might in the future lead to lawsuits, arbitration claims, and enforcement proceedings, as well as other actions and claims, that result in injunctions, fines, penalties, and monetary settlements. For example: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In connection with the Early 2021 Trading Restrictions, we and our employees, including our CEO, Vladimir Tenev, have received requests for information, and in some cases, subpoenas and requests for testimony from the USAO, the DOJ, Antitrust Division, the SEC Staff, FINRA, the New York Attorney General’s Office, other state attorneys general offices, and a number of state securities regulators. Also, a related search warrant was executed by the USAO to obtain Mr. Tenev’s cell phone. We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may have occurred after the decision to impose the Early 2021 Trading Restrictions and before the public announcement of the Early 2021 Trading Restrictions on January 28, 2021. On January 10, 2025, SEC Enforcement advised us in writing that it had closed its investigation into the Early 2021 Trading Restrictions and any contemporaneous employee trading issues. On March 6, 2025, we resolved FINRA’s investigations into the Early 2021 Trading Restrictions and employee trading issues.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In January 2024, we settled a matter with the MSD related to supervision of certain product features and marketing strategies, the service outages on our U.S. stock trading platform on March 2-3, 2020 and March 9, 2020 (the “March 2020 Outages”), and our options trading approval process, as well as the November 2021 Data Security Incident, under which we paid a $7.5 million fine and engaged an independent consultant to review, among other things, implementation of the FINRA independent consultant’s recommendations, policies and procedures regarding certain application features, and cybersecurity measures.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In August 2024, we settled a matter with the CAGO related to, among other things, certain disclosures by RHC and delivery of customers’ cryptocurrency assets under California Corporations Code Sections 29520 and 29505 during the period January 2018 through April 2022. We paid a monetary penalty of $3.9 million.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In January 2025, we settled multiple matters with the SEC (including investigations into Regulation SHO, the timeliness of our broker-dealers’ SAR filings, EBS submissions, various brokerage recordkeeping issues, the November 2021 Data Security Incident, and Regulation S-ID violations) in which RHF and RHS paid penalties totaling $45 million, and agreed to certain undertakings (together, the “January 2025 SEC Settlement”).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In March 2025, we settled multiple matters with FINRA (including investigations into RHF’s historical practice of collaring market orders, CIP, use of certain social media influencers, delivery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of certain regulatory required documents to customers, and origin code designations for professional customers;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Central Repository, and the OCC; and both broker-dealers’ AML programs, registration of required personnel, and supervision of trading in associated persons’ brokerage accounts) (together, the “March 2025 FINRA Settlement”). RHF and RHS paid a penalty totaling $26 million, and agreed to pay restitution of approximately $3.76 million to customers plus interest and certain undertakings.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These and other proceedings, some of which are described in Note 15 - Commitments &amp; Contingencies to our unaudited condensed consolidated financial statements in this Quarterly Report, have in the past and might in the future relate to broker-dealer, derivatives, investment adviser, credit card, cryptocurrency, and financial services rules and regulations, including our trading and supervisory policies and procedures, our clearing and routing practices, our trade reporting, our public communications, our compliance with FINRA registration requirements, AML and other financial crimes regulations, cybersecurity matters, a particular cryptocurrency’s status as a “security,” and our licensing status, among other topics. These sorts of proceedings, inquiries, examinations, investigations, and other regulatory matters have in the past and might in the future subject us to fines, penalties, and monetary settlements, harm our reputation and brand, require substantial management attention, result in additional compliance requirements, result in certain of our subsidiaries losing or being unable to obtain their regulatory licenses or losing their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other regulated subsidiaries or their officers or employees.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litigation settlements, we have in the past and might in the future be required to make expenditures to enhance our compliance activities. For example, in connection with the August 2022 NYDFS settlement, we engaged an independent consultant to perform a comprehensive evaluation of our compliance program and remediation efforts with respect to identified deficiencies and violations. The independent consultant completed its evaluation and made recommendations to implement enhancements in certain areas identified in the settlement, which required significant effort to implement.</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while we offer select services and products in certain countries outside the U.S., we are not currently licensed, authorized, or registered in every jurisdiction (and in some cases are not licensed in every state). Under the terms of our customer agreements, we currently offer services only to citizens and permanent residents with a legal address within those jurisdictions where we are authorized and registered, and our application includes features designed to block access to our services from unauthorized jurisdictions. However, to the extent a customer accesses our application or services outside of jurisdictions where we have obtained required governmental licenses and authorization, we face a risk of becoming subject to regulations in that local jurisdiction. A regulator’s investigation as to whether, or conclusion that, we are servicing customers in its jurisdiction without being appropriately licensed, registered, or authorized has in the past and could in the future result in fines or other enforcement actions or settlements. For example, in December 2024, we were required to pay fines and entered into consent orders with the Nebraska Department of Banking and Finance and the Massachusetts Division of Banks in connection with prior unlicensed activity.</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Previous statements by lawmakers, regulators and other public officials have signaled an increased focus on new or additional regulations that could impact our business and require us to make significant changes to our business model and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Various lawmakers, regulators and other public officials have previously made statements about our business and that of other broker-dealers signaling an increased focus on new or additional laws or regulations that, if acted upon, could impact our business. For instance, the former SEC Chair previously indicated that he had instructed the SEC Staff to study, and in some cases make rulemaking recommendations to the SEC, relating to, or had otherwise discussed the following, among other topics: PFOF, digital engagement practices, and whether broker-dealers are adequately disclosing their policies and procedures around potential trading restrictions; whether margin requirements and other payment requirements are sufficient; whether broker-dealers have appropriate tools to manage their liquidity and risk; conflicts that can arise from the use of predictive analytics, in particular conflicts that may arise to the extent advisors or brokers are optimizing their own interests as well as others; the use of mobile app features such as rewards, bonuses, push notifications and other prompts and that such prompts could promote behavior that is not in the interest of the customer, such as excessive trading, and whether expanded enforcement mechanisms are necessary; and digital engagement practices. Although the SEC, under the current administration, withdrew certain notices of proposed rulemaking that were issued under the former SEC Chair, if the SEC enacts similar rules in the future, whether in this current or future administration, such rules could impose additional regulatory requirements on our business and operations and could require us to make significant changes to our business model and practices. Additionally, from time to time, we have received requests from regulators, including from the SEC, regarding our collection and uses of customer data and related disclosures.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in 2022, FINRA issued a regulatory notice requesting comment on complex products and options including “whether the current regulatory framework…is appropriately tailored to address current concerns raised by complex products and options.” If FINRA amends its rules to impose additional 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Also, in September 2021, FINRA announced that it is reviewing firms’ use of social media marketing, including social media influencers, which is a marketing channel that we actively utilize. In February 2022, FINRA opened an investigation into our use of social media marketing, which we resolved as part of the March 2025 FINRA Settlement. In February 2023, FINRA provided updated guidance about firms’ practices related to their acquisition of customers through social media channels, as well as firms’ sharing of customers’ usage information with affiliates and non-affiliated third parties. In light of this updated guidance, we narrowed the scope of our social media influencer and affiliate publisher programs. Any additional limits that FINRA might impose on our use of this marketing channel could make it more difficult for us to attract new customers, resulting in slower growth.</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are involved in numerous litigation matters that are expensive and time consuming, and, if resolved adversely, could expose us to significant liability and reputational harm.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derivative matters, insurance matters, securities litigation matters, privacy and cybersecurity disputes,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disputes, contract disputes, consumer protection matters (including gambling loss recovery matters), and employment matters. This risk might be more pronounced during market downturns, during which the volume of legal claims and amount of damages sought in litigation and regulatory proceedings against financial services companies have historically increased.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Litigation matters brought against us have in the past and might in the future require substantial management attention and might result in settlements, awards, injunctions, fines, penalties, and other adverse results. A substantial judgment, settlement, fine, penalty, or injunctive relief could be material to our results of operations or cash flows for a particular period, or could cause us significant reputational harm.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more information about the legal proceedings in which we are currently involved, see Note 15 - Commitments &amp; Contingencies to our unaudited condensed consolidated financial statements in this Quarterly Report.</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are subject to governmental laws and requirements regarding anti-corruption, anti-bribery, economic and trade sanctions, AML, and counter-terror financing that could impair our ability to compete in international markets or subject us to criminal or civil liability if we violate them.</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required to comply with U.S. economic and trade sanctions administered by OFAC and we have processes in place to facilitate compliance with OFAC regulations. As part of our customer onboarding process, in accordance with the CIP rules under Section 326 of the USA Patriot Act,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the FCPA, U.S. and foreign bribery laws, and other U.S. and foreign anti-corruption laws. Anti-corruption and anti-bribery laws have been enforced aggressively in recent years and while there may currently be a reduced focus on enforcement in the U.S. in light of a February 2025 Presidential executive order, these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also subject to various AML and counter-terrorist financing laws and regulations that prohibit, among other things, our involvement in transferring the proceeds of criminal activities. In the U.S., most of our services are subject to AML laws and regulations, including the Bank Secrecy Act, as amended, and similar laws and regulations. Regulators in the U.S. continue to increase their scrutiny of compliance with these obligations. For example, in August 2022, we settled an NYDFS investigation of our cryptocurrency business related primarily to AML and cybersecurity-related issues, under which we paid a monetary penalty of $30 million and engaged an independent compliance consultant and in January 2025, as part of the January 2025 SEC Settlement, RHF and RHS paid penalties totaling $13 million for violations of the timeliness of our broker-dealers’ compliance with SAR filing requirements from January 2020 through March 2022.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Although our operations are currently concentrated in the U.S., we have expanded our operations outside of the U.S. As we have started to expand internationally, we have become subject to additional non-U.S. laws, rules, regulations, and other requirements regarding economic and trade sanctions, AML,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and counter-terror financing. In order to comply with applicable laws, we have revised and expanded, and will continue to, revise and expand our compliance program, including the procedures we use to verify the identity of our customers and to conduct ongoing monitoring of our customers and their transactions on our systems, including payments to persons outside of the U.S. The need to comply with multiple sets of laws, rules, regulations, and other requirements could substantially increase our compliance costs, impair our ability to compete in international markets, and subject us to risk of criminal or civil liability for violations. For example, RHEU identified elevated fraudulent activity in 2025, consistent with industry-wide trends for EU financial institutions operating SEPA-to-crypto products, and has implemented remediation measures. No formal regulatory proceedings or penalty notices have been initiated, but regulators exercise significant regulatory discretion over how to interpret and enforce applicable law and regulations.</w:t>
      </w:r>
    </w:p>
    <w:p>
      <w:pPr>
        <w:pStyle w:val="TextBody"/>
        <w:bidi w:val="0"/>
        <w:spacing w:before="0" w:after="0"/>
        <w:jc w:val="left"/>
        <w:rPr/>
      </w:pPr>
      <w:r>
        <w:rPr/>
      </w:r>
    </w:p>
    <w:p>
      <w:pPr>
        <w:pStyle w:val="TextBody"/>
        <w:bidi w:val="0"/>
        <w:spacing w:lineRule="auto" w:line="288" w:before="0" w:after="0"/>
        <w:jc w:val="both"/>
        <w:rPr/>
      </w:pPr>
      <w:r>
        <w:rPr>
          <w:rFonts w:ascii="Helvetica;sans-serif" w:hAnsi="Helvetica;sans-serif"/>
          <w:b/>
          <w:i/>
          <w:color w:val="000000"/>
          <w:sz w:val="20"/>
        </w:rPr>
        <w:t>Our ability to offer event contracts is subject to the outcome of currently ongoing and potential future regulatory enforcement actions and litigation,</w:t>
      </w:r>
      <w:r>
        <w:rPr>
          <w:color w:val="000000"/>
        </w:rPr>
        <w:t xml:space="preserve"> </w:t>
      </w:r>
      <w:r>
        <w:rPr>
          <w:rFonts w:ascii="Helvetica;sans-serif" w:hAnsi="Helvetica;sans-serif"/>
          <w:b/>
          <w:i/>
          <w:color w:val="000000"/>
          <w:sz w:val="20"/>
        </w:rPr>
        <w:t xml:space="preserve">as well as potential changes in federal or state law, that could immediately or subsequently prevent us from offering, or continuing to offer, event contracts.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Event contracts, whether offered by us or others, have drawn scrutiny from federal and state regulators and private parties, and have resulted in litigation that we are party to as well as litigation involving other companies that offer event contracts and between the CFTC and several states. In particular: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Various CFTC DCMs and FCMs—including RHD—have received cease-and-desist letters from various states asserting that offering federally regulated event contracts violates state wagering and gaming laws.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Several states have also filed civil enforcement actions against DCMs and FCMs—including RHD—in state court, some of which have been removed to federal court, which generally assert that the offering of federally regulated event contracts violates state wagering and gaming laws, public nuisance laws, or consumer protection laws. Certain state courts have issued orders granting temporary restraining orders and preliminary injunctions against some defendants restraining the offer of certain categories of event contracts; at least one of these orders has been appealed to a state appellate court.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In March 2026, Arizona filed criminal charges against KalshiEx LLC (“KalshiEx”) and a related entity in Arizona state court for alleged violations of state betting and wagering laws. The CFTC has successfully secured a preliminary injunction prohibiting Arizona from enforcing its gambling laws through any criminal or civil enforcement actions related to event contracts listed on CFTC-regulated DCMs. That decision is on appeal to the United States Court of Appeals for the Ninth Circuit.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DCMs and FCMs have also filed actions for declaratory judgment and permanent injunction seeking to enjoin states from filing civil and criminal enforcement actions against DCMs and FCMs on the ground that the Commodity Exchange Act (“CEA”) preempts the application of state law to federally regulated event contracts traded on DCMs. Such suits, including ones brought by RHD, have been brought in federal court. While some federal lawsuits have been successful in obtaining preliminary relief against certain states, other courts have denied preliminary relief to DCMs and FCMs. Certain of those decisions granting or denying preliminary relief have been appealed to federal courts of appeals. The United States Court of Appeals for the Third Circuit has affirmed a decision granting preliminary relief to KalshiEx.</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Beginning in April 2026, the CFTC filed complaints for declaratory relief and permanent injunction against certain states seeking to enjoin such states from enforcing state laws on the ground that the CEA preempts the application of state law to federally regulated event contracts traded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DCMs. In at least one of these actions, the CFTC has been successful in securing a preliminary injunction prohibiting a state regulator from enforcing its state gambling laws through any criminal or civil enforcement actions related to event contracts listed on CFTC-regulated DCMs. DCMs and FCMs, including RHD, have filed motions to intervene as plaintiffs in several actions brought by the CFTC, some of which have been granted.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Certain Native American tribes have sued entities including a DCM, Robinhood, and RHD, in federal court for injunctive relief and damages for offering event contracts accessible using devices on or near tribal lands. The tribes have asserted claims under the Indian Gaming Regulatory Act, the Lanham Act, civil violation of the Racketeer Influenced and Corrupt Organizations Act, and violations of tribal compacts, ordinances, regulations, and sovereignty. The only claim currently being asserted against Robinhood and RHD is for civil violation of the Racketeer Influenced and Corrupt Organizations Act for working with the Kalshi defendants to offer event contracts through KalshiEx’s exchange.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Several private organizations have been formed to recover, under state Statute of Anne laws, certain damages alleged to have resulted from event contract trading on DCMs. Those entities have brought actions against FCMs, DCMs, and others in state court, including RHD and KalshiEx, among other related entities. State Statute of Anne laws generally allow a losing party to recover certain gambling losses and, if no recovery is sought after the expiration of a set period of time, may permit others to recover those same losses. Some states permit the recovery of additional damages including treble damages.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Purported customers of several DCMs and other entities - including RHD - have also brought state statutory and common law claims on behalf of themselves and putative state and nationwide classes of consumers against DCMs in connection with their offering of event contracts, both in federal court and state courts. Plaintiffs generally allege that DCMs are conducting illegal sports gambling operations. Plaintiffs assert, among other claims, violations of state unlawful trade practices statutes, claims to recover under state Statute of Anne laws, violations of the CEA and CFTC regulations, joint venture and veil piercing liability, and common law unjust enrichment, and seek damages and equitable relief. Some plaintiffs have asserted that certain contracts, or the resolution of certain contracts, violated the CEA.</w:t>
      </w:r>
    </w:p>
    <w:p>
      <w:pPr>
        <w:pStyle w:val="TextBody"/>
        <w:bidi w:val="0"/>
        <w:spacing w:before="0" w:after="0"/>
        <w:jc w:val="left"/>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For more information on certain of these proceedings, see Note 15 - Commitments &amp; Contingencies to our unaudited condensed consolidated financial statements in this Quarterly Report.</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outcome of these cases or new laws or regulations, changes in the interpretation of existing laws or regulations, or more rigorous enforcement in this space could immediately or subsequently prevent us from offering, or continuing to offer, some or all types of event contracts in the future, including in specific states. In particular, additional federal or state courts, including appellate courts, may conclude that state laws attempting to prevent the trading of CFTC-regulated sports-related event contracts are not preempted by the CEA, or that event contracts are not “swaps” or contracts in excluded commodities falling within the jurisdiction of the CFTC, which would likely require us to cease offering certain event contracts in one or more states (or across all jurisdictions in which we operate) and could lead to adverse litigation and regulatory actions against us for doing so. Any such decision(s) could also result in us becoming subject to various new state-specific regulations relating to or implicating other event contracts, which would further limit our ability to offer access to event contracts within such state(s). Changes in CFTC or other regulatory policy that seek to ban or more heavily regulate event contracts, particularly event contracts that we offer such as those related to sporting events, could also require us to cease offering event contracts or materially impact our ability to offer event contracts and we may be required to cease offering such contracts in one or more jurisdictions in which we operate either immediately or with minimal advanced notice to customers. The CFTC previously proposed a rule amendment that, if adopted by the CFTC as proposed, would likely have prohibited us from offering sports and election 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contracts (similar to the ones we offered in November 2024). The CFTC withdrew this proposed rule amendment on February 4, 2026, and has proposed new rule amendments related to event contracts. Those proposed rule amendments have not yet been finalized. In the future, the CFTC could also take broader and more expansive actions with respect to these or other event contracts without notice at any time. Further, the tax treatment of event contracts is unclear, and unfavorable interpretations of tax laws or regulations by foreign or U.S. federal or state tax authorities could result in income and other taxes being imposed on Robinhood, our counterparties and our customers. For example, Illinois recently enacted a tax (effective July 1, 2026) on prediction market operators equal to 1.75% of the value of the first five million contracts traded annually by individuals in Illinois and 3.5% for such contracts in excess of that threshold. If the new law survives pending legal challenges, it is likely to increase our cost of doing business in Illinois. If our ability to offer event contracts (either entirely or in certain categories) in one or more jurisdictions in which we operate is threatened, the perception of our brand may suffer and we may be unable to retain customers, and we may incur significant costs to attempt to continue listing some or all such event contracts. Any of these outcomes could have an adverse effect on our business, financial condition and results of operations.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8"/>
        </w:rPr>
      </w:pPr>
      <w:r>
        <w:rPr>
          <w:rFonts w:ascii="Helvetica;sans-serif" w:hAnsi="Helvetica;sans-serif"/>
          <w:b w:val="false"/>
          <w:color w:val="000000"/>
          <w:sz w:val="28"/>
        </w:rPr>
        <w:t>Risks Related to Attracting, Retaining, and Engaging Customers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operate in highly competitive markets, and many of our competitors have greater resources than we do and may have products and services that are more appealing than ours to our current or potential customers.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markets in which we compete are evolving and highly competitive, with multiple participants competing for the same customers. Our current and potential future competition principally comes from incumbent brokerages, established financial technology companies, venture-backed financial technology firms, banks, cryptocurrency exchanges, asset management firms, financial institutions, consumer financial service providers and technology platforms. The majority of our competitors have longer operating histories and greater capital resources than we have and offer a wider range of products and services. Some of our competitors, particularly new and emerging technology companies, are not subject to the same regulatory requirements or scrutiny to which we are subject, which could allow them to innovate more quickly or take more 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no account minimums, and IRA match since their introduction on our platforms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 efforts or prices of our competitors. In addition, our competitors might choose to forgo PFOF, which could create downward pressure on PFOF and make it more difficult for us to maintain our PFOF arrangements, which are a significant source of our revenue. We might also be subject to increased competition as our competitors enter into business combinations or partnerships, or established companies in other market segments expand to become competitive with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ability to compete successfully in the financial services and cryptocurrency markets depends on a number of factors, including, among other things: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maintaining competitive pricing;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providing easy-to-use, innovative, and attractive products and services that are adopted by customers;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retaining customers (such as by providing effective customer support and avoiding outages, security breaches, and trading restrictions);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recruiting and retaining highly skilled personnel and senior management;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maintaining and improving our reputation and the market perception of our brand and overall value;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maintaining our relationships with our counterparties;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adjusting to a dynamic regulatory environment.</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competitive position within our markets could be adversely affected if we are unable to adequately address these factors.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If we fail to retain existing customers or attract new customers, or if our customers decrease their use of our products and services, our revenue will decline.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experienced customer growth in recent years, including a significant fraction of new customers, often more than 50%, who have told us that Robinhood is their first brokerage account. Our business and revenue growth depends on our efforts to attract new customers, retain existing customers, and increase the amount that our customers use our products and services (including premium services, such as Robinhood Gold). It is particularly important that we retain and engage our most active brokerage customers, who account for a disproportionately large percentage of our brokerage trading volumes. Any erosion of this active customer base would have a disproportionately large negative impact on our revenues, which could cause the trading price of our Class A common stock to decline significantly. Our efforts to attract and retain customers might fail due to a number of factors, including our customers losing confidence in us or preferring a competitor’s offerings. Additional factors that could lead to a decline in our number of customers or their usage of our products and services or that could prevent us from increasing our number of customers include: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 decline in our brand and reputation;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increased pricing for our products and services;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 shift in pricing models, including allowing customers to choose a fee-based model for cryptocurrency orders;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ineffective marketing efforts or a reduction in marketing activity;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certain of our customers, due to being new and inexperienced, might be less loyal to our product or less likely to maintain historical trading patterns and interest in investing;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 broad decline in the equity or other financial markets, which could result in many of these investors feeling discouraged and exiting the markets altogether (as has occurred in connection with prior bear market cycles);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rising inflation resulting in less disposable income for our customers to invest;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customers experiencing difficulties using the Robinhood app as intended, due to any number of reasons such as design errors, service outages, or trading restrictions imposed by us;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customers experiencing security or data breaches, account intrusions, or other unauthorized access;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our failure to provide adequate customer service;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customer resistance to and non-acceptance of cryptocurrencies;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customer dissatisfaction with the limited number of cryptocurrencies available on our platforms or with our ceasing support for cryptocurrencies on our RHC, RHEU, or Bitstamp platforms because they failed our regular listing committee review;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customer dissatisfaction with the RHC and Bitstamp USA, Inc. platforms removing certain cryptocurrencies because the SEC or a court has asserted or determined that the cryptocurrencies or similar cryptocurrencies are securities.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customers may choose to cease using our platforms, products, and services at any time, and may choose to transfer their accounts to another broker-dealer. For example, during the first quarter of 2021 many customers became upset by our imposition of the Early 2021 Trading Restrictions, and we saw an increase in customers choosing to transfer their accounts to other broker-dealers.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If we fail to provide, monetize or successfully execute on new and innovative products, services and initiatives that are adopted by customers, our business may become less competitive and our revenue might decline.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ability to attract, engage, and retain our customers and to increase our revenue depends heavily on our ability to evolve our existing offerings and to create, monetize, or successfully execute on new products, services and initiatives that are adopted by customers. Rapid and significant technological changes continue to confront the financial services industry, including developments in the methods in which securities are traded and developments in cryptocurrencies. To keep pace or to innovate we have introduced and might continue to introduce significant changes to our existing products and services or acquire or introduce new and unproven products, services and initiatives, including using technologies with which we have little or no prior development or operating experience (for instance, event contracts). Our efforts have been and might continue to be inhibited by industry-wide standards, legal restrictions, incompatible customer expectations, demands, and preferences, or third-party intellectual property rights. Our efforts to innovate have been and might continue to also be delayed or blocked by new or enhanced regulatory scrutiny or technical complications. Incorporating new technologies into our products and services, successfully executing on new initiatives, or realizing the intended benefits of acquisitions of, or investments in, other companies, products or technologies, has required and might continue to require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substantial expenditures and take considerable time, and we might not be successful in realizing a return on these efforts in a timely manner or at all. It might be difficult to monetize products in a manner consistent with our brand’s focus on low prices. If we fail to innovate and deliver products, services, and initiatives with market fit and differentiation, or fail to do so quickly enough as compared to our competitors, we might fail to attract and retain customers and maintain customer engagement, causing our revenue to decline. Our international expansion efforts may increase these risks as we expect to adapt our product and service offerings to reflect local regulatory requirements, customer preferences, and other location-specific factors, as discussed in “-Risks Related to Our Business-We currently operate in certain international markets and plan to further expand our international operations, which exposes us to significant new risks, and our international expansion efforts might not succeed.” </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8"/>
        </w:rPr>
      </w:pPr>
      <w:r>
        <w:rPr>
          <w:rFonts w:ascii="Helvetica;sans-serif" w:hAnsi="Helvetica;sans-serif"/>
          <w:b w:val="false"/>
          <w:color w:val="000000"/>
          <w:sz w:val="28"/>
        </w:rPr>
        <w:t>Risks Related to Our Platforms, Systems, and Technology</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rely on technology, including the internet and mobile services, to conduct much of our business activity and allow our customers to conduct financial transactions on our platforms. Our systems and operations, including our cloud-based operations and disaster recovery operations, those of the third parties on which we rely to conduct certain key functions, and those of companies we have acquired or may seek to acquire in the future,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vulnerabilities, human error, terrorism, improper operation, unauthorized entry, data loss, intentional bad actions, and other similar events and we have experienced such disruptions in the past. For example, on October 20, 2025, Amazon Web Services (AWS) experienced a major disruption in its US-EAST-1 region due to a failure in an internal system. This affected certain of our operations, resulting in service instability and interruption. Further, we have in the past and might in the future be particularly vulnerable to any such internal technology failures because we rely heavily on our own self-clearing platform, proprietary order routing system, data platforms, and other back-end infrastructure for our operations, and any such failures could have an adverse effect on our reputation,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products and internal systems also rely on software that is highly technical and complex (including software developed or maintained internally and/or by third parties and also including machine learning models) in order to collect, store, retrieve, transmit, manage and otherwise process immense amounts of data. The software on which we rely has in the past contained and might in the future contain errors, bugs, vulnerabilities, design defects, or technical limitations that might compromise our ability to meet our objectives. Some such problems are inherently difficult to detect, and some such problems might only be discovered after code has been released for external or internal use. Media outlets have in the past and might in the future learn of our plans for features by examining hidden but unprotected images and code in publicly available beta versions of our app, resulting in unwanted publicity prior to our intended announcement dates. Such problems might also lead to negative customer experiences (including the 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we have made, and continue to make, significant investments designed to correct software errors and design defects and to enhance the reliability and scalability of our platforms and operations, the risk of software and system failures, design defects and human error is always present, we do not have fully redundant systems, and we might fail to maintain, expand, and upgrade our systems and infrastructure to meet future requirements and mitigate future risks on a timely basis. It might become increasingly difficult to maintain and improve the availability of our platforms, especially as our platforms and product offerings become more complex and our customer base grows. For instance, we have needed and will continue to need to have adequate capacity and infrastructure on our platform with respect to the rollout, offering, and settlement of event contracts and to serve as brokerage and initial trustee for Trump Accounts.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surges in trading volume on our platforms have in the past and might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executed incorrectly, or not executed at all. For example, we experienced (i) the March 2020 Outages, which resulted in some of our customers being unable to buy and sell securities and other financial products on our U.S. trading platform for a period of time, and (ii) the partial service outages and degraded service on our RHC cryptocurrency platform from time to time in mid-April and early May 2021 caused by a surging demand for cryptocurrency trading (the “April-May 2021 Disruptions”), which resulted in some of our customers being unable to buy and sell cryptocurrencies for a period of time. Our platforms have otherwise in the past and might in the future experience outages. The March 2020 Outages resulted in putative class action lawsuits, arbitrations, and regulatory examinations and investigations, as well as cash remediation payments. Disruptions to, destruction of, improper access to, breach of, instability of, failure to effectively design or maintain or human error with respect to our information technology systems (including our data processing systems, self-clearing platform, and order routing system) that allow our customers to use our products and services, and any associated degradations or interruptions of service could result in damage to our reputation, loss of customers, loss of revenue, regulatory or governmental investigations, civil litigation, and liability for damages. In addition, our customer service team from time to time experiences backlogs responding to customer support requests. These backlogs have compounded when we have experienced any market outages, provider network disruptions, or platform outages or errors, including, for example, in connection with the March 2020 Outages and the April-May 2021 Disruptions, and may compound in the future as a result of such events. Frequent or persistent interruptions, or perceptions of such interruptions whether true or not, in our products and services could cause customers to believe that our products and services are unreliable, leading them to switch to our competitors or to otherwise avoid our products and services. Additionally, our insurance policies might be insufficient to cover a claim made against us by any such customers affected by any disruptions, outages, or other performance or infrastructure problems.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success depends in part upon continued distribution through app stores and effective operation with mobile operating systems, networks, technologies, products, hardware and standards that we do not control.</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substantial majority of our customers’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For example, from time to time we have experienced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customers’ use of our platforms.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in order to deliver a high-quality mobile experience for our customers, it is important that our products and services work well with a range of mobile technologies, products, systems, networks, hardware and standards that we do not control. We need to continuously modify, enhance, and improve our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customers choose to not update our app to the latest version, or if it is otherwise difficult for them to access or use our app on their mobile devices, or if they use mobile products that do not offer access to our app, our customer growth and engagement could be adversely affected and our revenues might decline. In addition, if our customers use older versions of our app it may result in customer complaints and regulatory inquiries that could lead to arbitration claims or regulatory sanctions.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rely on third parties to perform some key functions, and their failure to perform those functions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rely on certain third-party computer systems or third-party service providers, including several cloud technology providers such as AWS (on which we primarily rely to deliver our services to customers on our platforms), internet service providers, payment services providers, market and third-party data providers, regulatory services providers, clearing systems, Liquidity Providers, securities and cryptocurrency exchanges, facilitators of cryptocurrency staking services, the U.S. government and its financial agents, alternative trading systems (such as BOATS, Moon ATS, and Bruce ATS with respect to Robinhood 24 Hour Market), exchange systems (such as ForecastEx, LLC and KalshiEx LLC, with respect to certain event contracts), banking systems, payment gateways that link us to the payment card and bank clearing networks to process transactions, co-location facilities, communications facilities, and other third-party facilities to run our platforms, facilitate trades by our customers (such as Wells Fargo Clearing Services, LLC for TradePMR customers), provide the technology we use to manage some of our cryptocurrency custody, transfer, and settlement operations and support or carry out some regulatory obligations. In addition, external content providers provide us with financial information, market news, charts, option and stock quotes, cryptocurrency quotes, research reports, and other fundamental data that we provide to our customers. These providers have been and are susceptible to processing, operational, technological and security vulnerabilities, including security breaches, which might impact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business. Our ability to monitor our third-party service providers’ data security is limited. In addition, these third-party service providers might rely on subcontractors to provide services to us that face similar risks.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face a risk that our third-party service providers might be unable or unwilling to continue to provide these services to meet our current 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Regulators might also hold us responsible for the failures of our providers. For example, after BOATS, the trading venue that primarily supports overnight trading on Robinhood 24 Hour Market (8:00 pm - 4:00 am ET), experienced disruptions during the overnight trading session on August 4-5, 2024, we received requests for information from certain regulators.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continue to incorporate AI technologies into some of our products and processes. These technologies may present business, compliance, legal, and reputational risks.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currently use machine learning and AI to improve our products and processes in certain circumstances, such as to increase the efficiency of our in-app chat support, customer support workflows, fraud detection systems, and software coding optimization, as well as to improve the customer experience in our newsfeed, and to allow customers to connect third party AI agents to our Agentic Trading feature, which we currently offer to U.S. customers, in order to execute trades. We have plans to continue to expand our use of AI in the future. Our research and development of such technology also remains ongoing. As with many new and emerging technologies, AI presents numerous risks and challenges that could adversely affect our business. If we fail to keep pace with rapidly evolving AI technological developments, especially in the financial technology sector, our competitive position and business results may suffer. At the same time, use of AI has recently become the source of significant media attention and political debate.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For example, AI technologies can lead to unintended consequences, including generating content that appears correct but is factually inaccurate, misleading or otherwise flawed, or that results in unintended biases and discriminatory outcomes.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the use of third-party AI agents and adoption of agentic commerce, such as our Agentic Trading feature in which autonomous third-party AI agents initiate and execute transactions on behalf of users, presents novel and complex regulatory, privacy and cybersecurity risks. Legal frameworks governing such autonomous agents remain nascent, with limited direct guidance specific to trading. The interplay between payments regulations, data privacy and cybersecurity laws and new and developing AI regulations is evolving and may create risk and uncertainty around compliance obligations and potential liability exposure, particularly as more participants (including sellers, fintechs, AI developers and enablers) enter the agentic commerce ecosystem. The market is still assessing how regulators may apply existing consumer protection and other laws in the context of AI. Further, agentic AI such as our Agentic Trading feature may misinterpret instructions or behave in unexpected ways to execute trades without direct customer input, or such agents, or the tools and integrations that support them, may become unavailable or malfunction in a manner that prevents customers from executing transactions, which could negatively impact our customers, harm our reputation and business, and expose us to liability. In addition, our Agentic Trading feature also depends on the continued availability of, and our customers’ compliance with the terms of service of, various independent third-party agentic AI platforms and providers, which may restrict or prohibit use of their services. If such a provider were to restrict or disable customer access, our Agentic Trading feature and the customers who rely on it could be adversely affected.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agentic AI features, including those offered by independent third-party AI platforms and providers on which our Agentic Trading feature relies, may be targeted, misused, or produce outputs or inferences that implicate personal data in ways that are difficult to anticipate or control, potentially resulting in significant reputational harm, litigation or regulatory scrutiny. Reliance on agentic AI also introduces challenges in monitoring cross-border, prohibited or high-risk transactions, where conflicting regulatory requirements may apply.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Laws, regulations or industry standards that develop in response to the use of AI may be burdensome or may restrict our ability to use, develop, or deploy AI, particularly generative AI technologies, in our products or processes, or our efforts to expand our business. For example, the EU's AI Act, which became effective on August 1, 2024, governs the development, marketing and use of AI in the EU and could impose significant additional costs on us to comply or significant fines for failing to comply. In the U.S., a patchwork of emerging AI-related laws and regulations could also require us to modify our practices or increase compliance costs. For example, at the state-level, numerous states including California, Colorado and Texas have enacted laws regulating AI safety protocols, reporting, and transparency. At the federal level, on December 11, 2025, the President issued an executive order to establish a national policy framework for AI intended to preempt state AI laws and regulations. Among other things, the executive order directs the Federal Communications Commission to initiate a proceeding to determine whether to adopt a federal reporting and disclosure standard for AI models, which could impose significant additional costs on us to comply or significant fines for failing to comply.</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use AI technologies from third parties, which may include open source software. If we are unable to maintain rights to use these AI technologies on commercially reasonable terms, we may be forced to acquire or develop alternate AI technologies, which may limit or delay our ability to provide competitive offerings and may increase our costs. These AI technologies also may incorporate data from third-party sources, publicly available sources, or other datasets. We may not always be aware of the provenance, ownership, or licensing status of data used in connection with our AI technologies, which may expose us to risks associated with data rights and protection. The increased adoption of AI technologies by us, by our employees, contractors, and others including use of third-party AI platforms, increases the risk that confidential, proprietary, or sensitive information, including customer data, trade secrets, and security credentials, may be inadvertently disclosed to or retained by third-party AI service providers outside of our controlled systems, which could result in the unauthorized exposure of such information, expose us to legal and regulatory claims, compromise our intellectual property, and harm our competitive position or reputation. In addition, AI models we develop, or use may generate outputs that reproduce, closely resemble, or are derived from third-party copyrighted, proprietary, or otherwise protected content, which could expose us to infringement or misappropriation claims with respect to such outputs.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use, development, or adoption of AI technologies into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val="false"/>
          <w:color w:val="000000"/>
          <w:sz w:val="28"/>
        </w:rPr>
      </w:pPr>
      <w:r>
        <w:rPr>
          <w:rFonts w:ascii="Helvetica;sans-serif" w:hAnsi="Helvetica;sans-serif"/>
          <w:b w:val="false"/>
          <w:color w:val="000000"/>
          <w:sz w:val="28"/>
        </w:rPr>
        <w:t>Risks Related to Cybersecurity and Data Privacy</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business could be materially and adversely affected by a cybersecurity or data breach or other attack involving our computer systems or data or those of our customers or third-party or fourth-party service providers.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systems, including those of companies we have acquired or may seek to acquire in the future, and those of our customers and third-party service providers have been and might in the future be vulnerable to cybersecurity issues. We, like other financial technology organizations, routinely are subject to cybersecurity threats and our technologies, systems, and networks have been and might in the future be subject to attempted cybersecurity attacks. We are also susceptible to inadvertent compromises of our systems and data, including those arising from process, coding, or human errors. Such issues are increasing in frequency and evolving in nature, including employee and contractor theft or misuse, denial-of-service attacks, and sophisticated nation-state and nation-state-supported actors engaging in attacks. The operation of our platforms involves the use, collection, storage, sharing, disclosure, transfer, and other processing of customer information, including personal data. Security breaches and other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or data breaches and cybersecurity attacks increases.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Cybersecurity attacks and other malicious internet-based activity continue to increase, and financial technology platform providers have been and expect to continue to be targeted. In light of media attention, we might be a particularly attractive target of attacks seeking to access customer data or assets and have experienced negative publicity in connection with previous security incidents and might in the future experience similar adverse effects relating to real or perceived security incidents, whether or not related to the security of our platforms or systems. We have also received customer complaints and been subject to litigation and regulatory inquiries, examinations, enforcement actions, and investigations by various state and federal regulatory bodies, including the SEC, FINRA, and certain state regulators, including the NYDFS and the New York Attorney General, related to these events. The increasing sophistication and resources of cybercriminals and other non-state threat actors and increased actions by nation-state actors make it difficult to keep up with new threats and could result in a breach of security. For example, as AI technologies, including generative AI models and machine learning, develop rapidly, threat actors are using these technologies to rapidly identify currently unknown vulnerabilities and create new sophisticated attack methods that are increasingly automated, targeted, coordinated, and more difficult to defend against. In addition, the increasing sophistication and use of AI poses a greater risk of security breaches and incidences of fraudulent activity, including identity fraud, as malicious actors may exploit various AI technologies to create increasingly convincing false identities, transaction records, or attempt to manipulate our verification processes. This has necessitated and will continue to necessitate ongoing enhancements to our verification systems and security protocols. We have been and may continue to be required to expend significant additional resources to continue to modify or enhance these systems and protocols or to investigate and remediate any information security vulnerabilities.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there is an increased risk that we might experience cybersecurity-related incidents as a result of any of our employees, service providers, or other third parties working remotely on less secure systems and environments. While we take significant efforts to protect our systems and data, including establishing internal processes and implementing technological measures designed to provide multiple layers of security, our safety and security measures might be insufficient to prevent damage to, or interruption or breach of, our information systems, data (including personal data), and operations, such as the November 2021 Data Security Incident.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is increased. Third-party risks include insufficient security measures, data location uncertainty, vulnerabilities, and the possibility of data storage in inappropriate jurisdictions where laws or security measures might be inadequate. Our ability to monitor, and our resources to optimize integration with, third-party service providers’ data security practices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also limited.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For example, in late October 2024, a cyberattack occurred on our Newsroom in which a cyber attacker gained access to our Newsroom website, control of which is subcontracted to a third-party vendor, for a limited number of hours. The cyberattack did not result in any unauthorized access of customer information. In addition, in December 2024, a cyberattack occurred at Cyberhaven, a data protection company we utilize as a third-party vendor, creating the potential for attackers to steal sensitive data through a malicious version of a Google Chrome extension. Although we do not believe that this third-party vulnerability impacted us, the attack highlights the growing risk from cybersecurity threats against third-party service providers.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has in the past and may in the future result in the compromise of the confidentiality, integrity, or availability of our systems or the data housed in our third-party solutions. Additionally, we could also be exposed to information security vulnerabilities or failures at third parties’ common suppliers or vendors (known as “fourth parties”) that could also impact the security of our data, and we may not be able to effectively directly monitor or mitigate such fourth-party risks, in particular as such risks relate to the use of common suppliers or vendors by the third parties that perform functions and services for us and our limited ability to assess the fourth party’s operational controls.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core aspect of our business is the reliability and security of our platforms. Any unauthorized or inadvertent access to or disclosure, loss, destruction, disablement or encryption of, use or misuse of or modification of data, including personal data, cybersecurity breach, data breach, or other security or similar incident that we, our customers or our third-party or fourth-party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or data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and our third-party partners’ efforts to improve security and protect data from compromise has in the past identified and might in the future identify previously undiscovered security breaches or vulnerabilities. There could be public announcements regarding any security incidents or vulnerabilities and any steps we take to respond to or remediate such incidents, and if securities analysts or investors perceive these announcements to be negative, it could have an adverse effect on the trading price of our Class A common stock.</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more significant claims against us or changes in our cybersecurity insurance coverage, premiums, or deductibles may adversely affect our reputation, business, financial condition or results of operations.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Section 5 of the Federal Trade Commission Act, and state laws such as the California Consumer Privacy Act, which provides consumers with the right to know what personal data is being collected, know whether their personal data is sold or disclosed and to whom and opt out of the sale of their personal data, among other rights. We also face particular privacy, data security and data protection risks in connection with our expansion into the U.K. and the EU and other jurisdictions in connection with the General Data Protection Regulation, the Digital Operational Resilience Act, the ePrivacy Directive (including its national implementations), and other data protection regulations including but not limited to facing complexity in interpreting, applying, implementing and complying with such regulations. The regulatory framework for data privacy and security worldwide is also evolving and, as a result, interpretation,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For instance, with respect to our Agentic Trading feature, the interplay between payments regulations, data privacy laws and evolving AI regulations may create uncertainty around compliance obligations and potential liability exposure as more participants (including sellers, fintechs, AI developers and enablers) enter the agentic commerce ecosystem. There is a risk of enforcement actions in response to rules and regulations promulgated under the authority of federal and international agencies and state attorneys general and legislatures and consumer protection agencies. For instance, we have in the past (as discussed in Note 15 - Commitments &amp; Contingencies to our unaudited condensed consolidated financial statements in this Quarterly Report) and may in the future be subject to investigations and examinations regarding, among other things, our cybersecurity practices. In addition, if we fail to follow these security standards, even if no customer information is compromised, we might incur significant fines or experience a significant increase in costs. Following the November 2021 Data Security Incident, we received requests for information from regulatory authorities regarding, among other things, the adequacy of our information security measures, and as part of the January 2025 SEC Settlement, RHF and RHS paid penalties for violating Regulation S-P.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contractual obligations, or any compromise of security that results in the theft, unauthorized or inadvertent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condition and results of operations. For example, the operation of Robinhood Social involves processing and displaying customer performance statistics, join dates, and selected account-level trade data of participating customers. Any failure in the platform’s privacy and content settings (such as a failure to properly execute a user’s account deactivation or content deletion request) could violate state data privacy laws, rules and regulations and subject us to investigations, examinations, regulatory fines and class-action privacy litigation.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8"/>
        </w:rPr>
      </w:pPr>
      <w:r>
        <w:rPr>
          <w:rFonts w:ascii="Helvetica;sans-serif" w:hAnsi="Helvetica;sans-serif"/>
          <w:b w:val="false"/>
          <w:color w:val="000000"/>
          <w:sz w:val="28"/>
        </w:rPr>
        <w:t>Risks Related to Our Brokerage Products and Services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If we do not maintain the net capital levels required by regulators, our broker-dealer business may be restricted, and we may be fined or subject to other disciplinary or corrective actions.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Helvetica;sans-serif" w:hAnsi="Helvetica;sans-serif"/>
          <w:b w:val="false"/>
          <w:color w:val="000000"/>
          <w:sz w:val="20"/>
        </w:rPr>
        <w:t xml:space="preserve">The SEC, FINRA, and various state regulators impose requirements with respect to the maintenance of specific levels of net capital by securities broker-dealers. For example, our broker-dealer subsidiaries are each subject to the SEC Uniform Net Capital Rule, which specifies minimum capital requirements intended to ensure the general financial soundness and liquidity of broker-dealers, and our clearing and carrying broker-dealer subsidiary is subject to Rule 15c3-3 under the Act, which requires broker-dealers to maintain a reserve account to ensure customer securities are protected and accessible, even in cases of firm insolvency. Our failure to maintain the required net capital levels and protect customer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 large operating loss, or an unusually large charge against net capital, or if we make changes in our business operations that increase our capital requirements, operations that require an intensive use of capital could be limited and have adverse effects on our ability to maintain or expand our business. </w:t>
      </w:r>
      <w:r>
        <w:rPr>
          <w:rFonts w:ascii="Helvetica;sans-serif" w:hAnsi="Helvetica;sans-serif"/>
          <w:b w:val="false"/>
          <w:color w:val="303030"/>
          <w:sz w:val="20"/>
          <w:shd w:fill="FFFFFF" w:val="clear"/>
        </w:rPr>
        <w:t xml:space="preserve">For example, in December 2024, the SEC adopted amendments to Rule 15c3-3, which require certain broker-dealers, including RHS, by June 2026 to increase the frequency with which they perform computations of the net cash they owe to customers from weekly to daily. We proactively started implementing these daily computations and began making any required deposits in January 2026.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compliance and risk management policies and procedures as a regulated financial services company might not be fully effective in identifying or mitigating compliance and risk exposure in all market environments or against all types of risk.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a financial services company, our business exposes us to a number of heightened risks. We have devoted significant resources to develop our compliance and risk management policies and procedures and will continue to do so, but our efforts might be insufficient. Our previous and continued expanded operations, evolving business, and unpredictable periods of rapid growth make it difficult to predict all of the risks and challenges we might encounter and therefore increase the risk that our policies and procedures for identifying, monitoring, and managing compliance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also exposed to heightened regulatory risk because our business is subject to extensive regulation and oversight by a number of regulators and SROs in a variety of areas and geographies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in December 2022, RHF and RHS received investigative requests from the SEC Division of Enforcement regarding their record keeping and preservation practices, including use of personal devices for brokerage communications. RHF and RHS settled the SEC’s investigation into these practices as part of the January 2025 SEC Settlement, paying penalties totaling $8 million and agreeing to complete an internal audit review of electronic communications retention.</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are subject to potential losses as a result of our clearing and execution activities.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on behalf of customers, (i) could lead to civil penalties, as well as losses and liability as a result of related lawsuits brought by customers and others and any out-of-pocket costs associated with remediating customers for losses, and (ii) have led to, and could in the future lead to the risk of, fines or other actions by regulators. For example, as part of the January 2025 SEC Settlement, RHS settled investigations with the SEC related to suspicious activity reporting, identity theft protection, unauthorized access to Robinhood systems, off-channel communications, retention of brokerage data, failure to maintain certain templated customer communications, EBS submissions and Regulation SHO in connection with fractional share trading and stock lending, which resulted in RHS paying combined monetary penalties of $33.5 million and agreeing to certain undertakings. Furthermore, as part of the March 2025 FINRA Settlement, RHS resolved multiple matters with FINRA, including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and OCC, and RHS’s AML program, registration of required personnel, and supervision of trading in associated persons’ brokerage accounts. RHS, along with RHF, paid a penalty totaling $26 million and agreed to pay restitution and to certain undertakings to resolve these investigations, among others.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All customers can place limit orders to buy whole shares of the most traded exchange-traded funds and individual stocks - 24 hours a day, five days a week - through Robinhood 24 Hour Market. Offering U.S. stock trading overnight has heightened risks related to our clearing and execution activities as we do not have previous experience operating or staffing our systems for around-the-clock coverage and may not be able to accurately anticipate the volume of trading activity that will occur outside of regular market hours. Overnight trading on Robinhood 24 Hour Market is primarily supported by BOATS, an alternative trading system that offers certain overnight electronic access, price discovery, trade reporting and clearing connectivity services with respect to exchange-listed securities. If BOATS becomes unwilling or unable to do business with us or one of our Liquidity Providers in the future, we may be unable to find another trading platform to support Robinhood 24 Hour Market, which could negatively impact our transaction-based revenue and generate negative publicity. Additionally, any disruptions in the services provided by BOATS, whether due to technical malfunctions, operational mishaps, or external factors such as regulatory changes or market volatility, have in the past, and may in the future impair our ability to execute our clients’ orders. Should BOATS experience downtime or diminished performance (as it has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the past and could again in the future), particularly during overnight trading hours, our ability to execute customer orders through Robinhood 24 Hour Market could be compromised and could have an adverse impact on our business, financial condition, results of operations, and/or brand and reputation. For example, on August 5, 2024, BOATS did not open for overnight trading and as a result, Robinhood customers were unable to execute any trades during that overnight session.</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clearing operations (including for TradePMR customers through TradePMR’s contract with its clearing firm, Wells Fargo Clearing Services, LLC) also require a commitment of our capital and, despite safeguards implemented through both manual and automated controls, involve risks of losses due to the potential failure of our customers or counterparties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designed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as a clearing member firm of securities and derivatives clearinghouses in the U.S., we are also exposed to credit risk of other clearing members. Securities and derivatives clearinghouses require member firms to deposit cash, stock and/or government securities for margin 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 Furthermore, in the event that a significant amount of our customers’ open trades fail to settle, we might be exposed to potential loss of the capital we committed to meet our deposit requirements.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exposure to credit risk with customers, Liquidity Providers, and other counterparties could result in losses.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extend margin credit and leverage to customers, which are collateralized by customer assets. By permitting customers to engage in margin transactions, we are subject to risks inherent in extending credit. Rapid changes in market conditions or in the trading price of individual securities may cause the value of collateral to fluctuate, potentially resulting in the value of the collateral held by us falling below the amount of a customer’s indebtedness. We also lend and borrow securities in connection with our broker-dealer business. In accordance with regulatory guidelines, we hold cash as collateral when we lend securities, and likewise, we collateralize our borrowings of securities by depositing cash with lenders. Sharp changes in market values of substantial amounts of securities in a short period of time and the failure by parties to the lending or borrowing transactions to honor their commitments could result in substantial losses.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also exposed to credit risk in our dealings with the Liquidity Providers to which we route cryptocurrency orders. Unlike equities and option trades, cryptocurrency trades do not settle through any central clearinghouses but rather are conducted under bilateral agreements between us and each crypto Liquidity Provider (the risk of the Liquidity Provider’s default therefore falls upon us rather than being distributed among a clearinghouse’s members). The terms of these bilateral agreements vary, but spot transactions are generally aggregated and settled on a net basis once per business day (with the crypto deliveries occurring first and the net cash moving within 24 hours thereafter) and payment obligations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generally unsecured during the interval between delivery and payment. It is not uncommon for us to have an intraday outstanding net receivable of $100 million that we are owed by any one cryptocurrency Liquidity Provider. Similarly, we routinely have unsecured PFOF receivables from equities and options Liquidity Providers, as well as credit risk from our on-exchange lending and post-trade settlement services. Any payment default by a Liquidity Provider could have adverse effects on our financial condition and results of operations. Our acquisition of Bitstamp has resulted in increased credit risk associated with certain Liquidity Providers, given that some of these firms are also customers of Bitstamp.</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RHD is obligated to establish and maintain an appropriate RITA, which is the amount of RHD’s own capital held in segregation in excess of the amount required to be segregated based on customer positions. RHD also maintains additional firm capital in segregation greater than the established RITA amount, (i.e., excess segregated funds). If the aggregate customer margin deficiency amount on any day exceeds the excess segregated funds amount to the point where RHD breaches its RITA, RHD would be in violation of CFTC rules and would potentially be subject to monetary penalties, sanctions, or other disciplinary actions for failing to maintain an appropriate RITA.</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a result of our acquisition of Bitstamp, we now provide additional cryptocurrency products and services to institutional customers both in parts of the U.S. and internationally, including products and services such as retail lending, on-exchange lending, off-exchange settlement, post-trade settlement, and perpetual futures exchange. These offerings to certain institutional clients expose us to risks we have not historically faced at scale, including credit risk.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policies and procedures designed to manage credit risk, but we face a risk that such policies and procedures might not be fully effective. We regularly update our risk management framework and practices, but eliminating credit risk entirely is difficult.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Providing investment advice and recommendations could subject us to investigations, penalties, and liability for customer losses if we fail to comply with applicable regulatory standards, and providing investment education tools could subject us to additional risks if such tools are construed to be investment advice or recommendations.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Risks associated with providing investment advice and recommendations include those arising from how we disclose and address possible conflicts of interest, inadequate due diligence, inadequate disclosure, and human error. The Advisers Act and its related rules and interpretations impose a fiduciary duty on our provision of investment advisory services to advisory clients. Other regulations, such as the SEC’s Regulation Best Interest and certain state broker-dealer regulations, impose heightened conduct standards and requirements on recommendations to retail investors. For example, the NASAA (an association of state securities administrators) has adopted amendments to the NASAA model rule regarding Dishonest or Unethical Business Practices of Broker-Dealers and Agents, which are intended to address Regulation Best Interest and other developments in the securities industry. In addition, the SEC and various states have considered or are considering potential regulations or have already adopted certain regulations that could impose additional standards of conduct or other obligations on us to the extent we provide investment advice or recommendations to our customers or use certain covered technologies while communicating with existing or prospective customers.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provide customers with a variety of educational materials in various jurisdictions, investment tools, and financial news and information, such as our “Snacks” newsletter (which is offered by Sherwood Media), the suite of other editorial offerings that Sherwood Media has launched and will continue to launch, and the Robinhood Investor Index. Additionally, Robinhood Gold Subscribers have access to AI-generated explanations of stock and portfolio performance and a conversational AI feature that analyzes customer accounts and holdings, helps manage watchlists and alerts, and executes certain supported transactions. TradePMR offers a version of these features to RIAs. We also offer an Agentic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feature, that allows customers to connect independent third-party AI agents to dedicated agentic trading accounts. We also provide our customers with access to the Robinhood Social platform, that allows eligible customers to share executed trades, performance statistics, commentary, and manually initiate trades shared by others. While we explicitly disclose that posts within Robinhood Social reflect only the opinions of individual customers and do not constitute investment advice, recommendations, or solicitations by Robinhood, we face a risk that regulators or courts might interpret these platform features and mechanics as constituting regulated investment advice or recommendations. If Robinhood Social is deemed to violate Regulation Best Interest or state fiduciary standards, we could face investigations, significant fines, penalties, and liability for customer losses.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as investment advice. In addition, providing customers access to third party products and services (e.g., tax services) could subject us to liabilities if customers lose money as a result of using such products and services, or if we improperly use customer information in violation of privacy laws.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our acquisition of TradePMR, and through our subsidiary investment adviser RAM, we launched the Robinhood Adviser Network (“RAN”), a referral program that connects eligible Robinhood customers with independent RIAs who custody assets with TradePMR. We are responsible for the initial and ongoing vetting of RIAs in the network. If an RIA we refer a customer to later engages in certain activities such as fraud, a breach of fiduciary duty, or significant mismanagement of client funds, we may face "negligent referral" claims or reputational damage, even if we did not provide the underlying investment advice. If the SEC or other regulators were to deem RAM to be acting as a “promoter” or “endorser” within the meaning of the SEC Rule 206(4)-1 under the Advisers Act (the “Marketing Rule”), we would be required to comply with additional, and potentially overlapping, requirements under the Advisers Act and related rules (including the Marketing Rule, as well as any analogous regulatory regimes promulgated by states or self-regulatory organizations), with respect to the structure, documentation, and disclosure of the program, the content and presentation of our communications, and our due diligence and oversight of participating advisers and promoters. The transition of a self-directed retail customer to a third-party RIA also involves sharing sensitive financial data and integrating our platform with TradePMR’s Fusion platform. Operational failures during this transition-such as data breaches, incorrect asset transfers, or poor communication from the referred RIA, could alienate our core user base and lead to higher churn rates. In addition, our agreements with RIAs include "termination fees" if an RIA exits the program but retains the referred clients. Collecting these fees may lead to contractual disputes or litigation with partner firms, which could disrupt the network's stability and discourage new RIAs from joining.</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services that we do not consider to be recommendations (such as educational materials, and our editorial offerings, including Robinhood Snacks) are construed as constituting investment advice or recommendations, we have been and could be in the future subject to investigations by regulatory agencies. For example, in December 2020, the Enforcement Section of MSD filed a complaint against us alleging that a fiduciary conduct standard applies to us under Massachusetts securities law by claiming that certain of our product features and marketing strategies amount to investment recommendations. Changes in law or changes in interpretations of existing law might also require us to modify the nature of these services or discontinue them altogether, one or more of which could have an adverse effect on our ability to attract and retain customers.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the extent our investment education tools, news and information,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wholly-owned subsidiary, RHV, serves as the investment adviser to registered investment companies and business development companies, and expects to advise additional investment vehicles in the future, which subjects us to additional burdens and risks and could subject us to potential liability.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RHV, an investment adviser registered with the SEC under the Advisers Act, serves as the investment adviser to RVI. RVI is a Delaware statutory trust registered under the 1940 Act, as an externally managed, non-diversified, closed-end investment company. RHV also serves as investment adviser to RVII, a newly organized, externally-managed and diversified closed</w:t>
        <w:noBreakHyphen/>
        <w:t>end fund that has elected to be regulated as a business development company (“BDC”). RHV expects to serve as investment adviser to additional investment vehicles regulated under the 1940 Act in the future (collectively with RVI and RVII, the “Funds”), where the structure of additional Funds may differ, potentially significantly, from that of RVI and RVII.</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RHV is responsible for making investment decisions for RVI and RVII’s portfolios, and in the future may be responsible for making investment decisions for additional Funds’ portfolios should it serve as their investment adviser. RHV was formed in August 2025 and has limited investing history. RHV’s service as an investment adviser to RVI and RVII, and future service as an investment adviser to the Funds subjects us to additional burdens and risks and could subject us to potential liability, including but not limited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We are subject to additional regulatory and compliance burdens. For example, RVI is registered under the 1940 Act as an investment company. RVI and its investment adviser, RHV, are subject to the 1940 Act and the rules thereunder, which, among other things, regulate the relationship between a registered investment company and its investment adviser and their respective affiliates and prohibit or severely restrict principal transactions and joint transactions. RVII is subject to regulation under the 1940 Act as well, including provisions specifically applicable to BDCs. Additional Funds may be subject to varying requirements under the 1940 Act or other regulatory regimes, which will increase the complexity and cost of our compliance programs.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RHV was recently formed and while its personnel have investment experience, RHV and its management have limited experience managing closed-end investment companies and other potential investment vehicles. Different fund structures and investment strategies may also require specialized expertise, including with respect to investing and administration, that RHV may be unable to scale effectively.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RHV or its directors, officers or employees and its affiliates, successors or other legal representatives may be liable for any error of judgment, for any mistake of law or for certain types of acts or omissions by such person. As the number and scope of Funds increase, the risk of litigation and regulatory scrutiny will also increase.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RHV provides to RVI and RVII, and expects in the future to provide to the Funds, certain investment advisory, management and administrative services pursuant to investment advisory agreements. Its provision of those services to the Funds can be terminated without penalty as specified in the investment advisory agreement. In addition, if the investors in a Fund were to be dissatisfied with the investment performance or disagree with investment strategies employed by RHV, they may seek to cause the board of directors of the Fund to terminate its investment advisory agreement with us or change the terms of such agreement in a manner that is less favorable to us.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The timing and amount of management fees generated by RVI, and expected to be generated by additional future Funds, are uncertain and depend on the success of capital raising efforts and the Funds’ investment performance, and revenue derived from such management fees generally will be recognized only after a Fund is deconsolidated from our balance sheet (RVI, which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previously consolidated in our financial statements, was deconsolidated as of June 30, 2026; RVII is currently consolidated in our financial statements). Different Funds may have different fee structures, including performance-based incentive fees, which are more volatile than base management fees. RHV also may from time to time waive and/or reimburse all or a portion of its management fees for RVI or RVII or one or more additional future Funds when it deems appropriate.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RVI and RVII hold, and additional future Funds are expected to hold, illiquid, private investments that have no readily ascertainable market prices. The actual results related to any particular investment often vary materially. Because there is significant uncertainty in the valuation of, or in the stability of the value of, illiquid investments, the fair values of such investments as reflected in a Fund’s NAV do not necessarily reflect the prices that would actually be obtained by such Fund when such investments are realized and may contribute to a disconnect between NAV and the market price of such Fund’s shares, volatility in such Fund’s NAV or market price, negative investor perceptions of such Fund’s performance and reduced investor confidence in us or such Fund, which could in turn result in difficulty in raising additional funds, reputational harm, and increased risk of litigation or other claims against us, RHV, RVI, RVII, or any additional future Fund.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We have made balance sheet investments to provide seed capital to RVI and RVII and expect to continue making balance sheet investments to provide seed or other capital to certain Funds during their early fundraising stages. Such investments have been and may in the future be illiquid, long-term in nature and subject to significant valuation uncertainty, and may decline in value. There can be no assurance as to the timing or amount of any returns on such investments, and we may be required to hold such investments for extended periods. In addition, we may determine to commit additional capital to such Funds. As a result, these activities may expose us to investment losses and could adversely affect our financial condition, results of operations, liquidity and capital resources.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Funds are subject to conflicts of interest. Our business activities in the management of, or our interest in, our own business and accounts, may present conflicts of interest that could disadvantage the Fund and its shareholders. We provide brokerage services to retail investors that may follow investment programs similar to that of a Fund. RHV and its affiliates will be permitted to market, organize, sponsor, act as general partner or as the primary source for transactions for other pooled investment vehicles and other accounts, which may be offered on a public or private placement basis, and to engage in other investment and business activities. Some of these vehicles and accounts may have investment strategies that overlap with the investment strategies of the Funds. In addition, to the extent permitted under applicable law, our employees and their family members can own investments in companies in which the Funds invest. Such activities may raise conflicts of interest for which the resolution may not be determinable.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As the number and scope of Funds expands, we will increasingly confront potential conflicts of interest, relating to our and the Funds’ investment activities. For example, potential conflicts may arise with respect to our decisions regarding how to allocate investment opportunities. RHV may allocate an investment opportunity in a manner that excludes one or more Funds or results in a disproportionate allocation based on factors or criteria that RHV determines. In addition, conflicts of interest may exist in the valuation of investments (which can affect fees), timing of transactions, and regarding the allocation of fees and costs among Funds and their portfolio companies.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If a Fund performs poorly or does not achieve expected returns, investors may decline to invest in any future Funds, and such poor performance may be attributed to Robinhood more generally.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9"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Any of these additional burdens and risks could subject us to potential liability and could harm our reputation and business.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i/>
          <w:color w:val="000000"/>
          <w:sz w:val="20"/>
        </w:rPr>
      </w:pPr>
      <w:r>
        <w:rPr>
          <w:rFonts w:ascii="Helvetica;sans-serif" w:hAnsi="Helvetica;sans-serif"/>
          <w:b/>
          <w:i/>
          <w:color w:val="000000"/>
          <w:sz w:val="20"/>
        </w:rPr>
        <w:t xml:space="preserve">Our provision of brokerage and custodial services to RIAs exposes us to operational, regulatory and reputational risks.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provision of brokerage and custodial services through TradePMR to RIAs and their clients is subject to extensive federal and state regulation, including oversight by the SEC, FINRA, and applicable state securities regulators. Regulatory changes or enhanced enforcement activity may require significant system changes, and increased compliance resources, which could materially affect our business operations and results of operations. Non-compliance with applicable regulations by us or by TradePMR’s clearing firm, Wells Fargo Clearing Services, LLC, could result in censures, fines, or reputational harm.</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rely heavily on proprietary and third-party technology platforms to provide brokerage, custodial, and administrative services. A failure in these systems, including outages, cyberattacks, data breaches, or programming errors, could interrupt our operations or those of our RIA clients, resulting in financial losses, regulatory exposure, or damage to our relationships with advisors and end clients.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Possessing client assets and sensitive personal information exposes us to cybersecurity threats and data privacy obligations. A breach of our systems or those of our vendors could result in unauthorized access to confidential information, potentially triggering legal liabilities, regulatory investigations, remediation costs, and reputational harm. Continued investment in information security infrastructure and incident response protocols is necessary to mitigate this risk.</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may be subject to regulatory actions, legal claims, and arbitration proceedings arising from the actions or omissions of RIAs to whom we provide custodial support. We provide investment advice to end clients through RAM and RHV, and although we do not provide such investment advice through TradePMR, disputes may nevertheless arise regarding account management, trade execution, or data integrity. Any such claims could result in costly litigation, adverse judgments, or settlements.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revenue from custodial relationships is largely dependent on assets under custody, cash balances, and the trading activity of advisory clients. Adverse market conditions, rising interest rate volatility, or shifts in client behavior may reduce trading volumes or asset levels, which could negatively impact our fee-based and spread income.</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ability to retain and grow our RIA client base depends in part on our reputation for service quality, platform stability, and regulatory compliance. Negative publicity, including but not limited to negative publicity arising from operational failures, regulatory sanctions, or advisor misconduct, may harm our brand and result in the loss of key relationships or reduced advisor onboarding.</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8"/>
        </w:rPr>
      </w:pPr>
      <w:r>
        <w:rPr>
          <w:rFonts w:ascii="Helvetica;sans-serif" w:hAnsi="Helvetica;sans-serif"/>
          <w:b w:val="false"/>
          <w:color w:val="000000"/>
          <w:sz w:val="28"/>
        </w:rPr>
        <w:t>Risks Related to Cryptocurrency Products and Services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 unable to trade their cryptocurrency, our reputation and business could be harmed, and we might be liable for losses in excess of our ability to pay.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we expand our cryptocurrency product and service offerings, the risks associated with failing to safeguard and manage cryptocurrencies we hold on behalf of our customers increase. Our success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20"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the success of our offerings require significant public confidence in our ability to properly manage customers’ balances and handle large transaction volumes and amounts of customer funds. Any failure by us to maintain the necessary controls or to manage the cryptocurrencies we hold on behalf of our customers and funds appropriately and in compliance with applicable regulatory requirements could result in reputational harm, significant financial losses, lead customers to discontinue or reduce their use of our services, and result in significant penalties and fines and additional restrictions.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hold all settled cryptocurrencies in custody on behalf of customers in two types of wallets: (i) hot wallets, which are managed online, and (ii) cold wallets, which are managed entirely offline and require physical access controls. With the exception of Bitstamp (discussed below), Robinhood does not utilize third-party custodians for settled cryptocurrencies, but does integrate proprietary technology from a third-party industry-standard vendor into the systems Robinhood uses to support the custody, transfer and settlement operations of its wallets. As noted, Bitstamp does use third-party custodians. Failures, problems or issues at these third-party custodians could subject Bitstamp to various forms of risk and may have a significant impact on Bitstamp’s business and reputation, which, in turn, could harm Robinhood’s business and reputation more broadly.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general, the overwhelming majority of cryptocurrency coins on our platforms are held in cold storage, though some coins are held in hot wallets to support day-to-day operations. As a public company, we are required to comply with the Sarbanes-Oxley Act of 2002. As part of this, we are required to establish and maintain adequate internal control over financial reporting and evaluate the effectiveness of our internal control over financial reporting. The effectiveness of Robinhood’s internal control over financial reporting and our financial statements and related notes are audited by Ernst &amp; Young LLP, our independent registered public accounting firm. Under blockchain protocol, in order to access or transfer cryptocurrency stored in a wallet, we need to use a private key. Robinhood maintains backup copies of private keys in multiple separate locations. Bitstamp safeguards its private keys internally and with custodians.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 assurance that any or all of our wallets will not be hacked, exposed, or compromised such that cryptocurrencies are sent to one or more private addresses that we do not control, which could result in the loss of some or all of the cryptocurrencies that we hold in custody on behalf of customers. Any such losses could be significant, and we may not be able to obtain insurance coverage for some or all of those losses. Cryptocurrencies and blockchain technologies have been, and might in the future be, subject to security breaches, hacking, or other malicious activities, including targeted physical attacks. For example, in August 2021, hackers were able to momentarily take over the BSV network, allowing them to spend coins they did not have and prevent transactions from completing. Any exposure or loss of private keys relating to, or hack or other compromise of, the hot wallets or cold wallets we use to store our customers’ cryptocurrencies could result in total loss of customers’ cryptocurrencies (because customers’ cryptocurrency balances are not protected by the SIPC) or adversely affect our customers’ ability to sell their assets, and could result in our being required to reimburse customers for some or all of their losses, subjecting us to significant financial losses. Because many insurance carriers do not provide insurance coverage for crypto-related risks, comprehensive coverage for such events is not readily available on commercially reasonable terms. Our current coverage is limited and may not cover the extent of loss, nor the nature of such loss, in which case we may be liable for the full amount of losses suffered, which could be greater than all of our remaining assets. The total value of cryptocurrencies under our control on behalf of customers is significantly greater than the current total value of insurance coverage that would compensate us in the event of theft or other loss of such assets. Furthermore, the term of our current insurance policy expires in the third quarter of 2026, with our option to renew annually or for the carrier to terminate coverage with advance written notice. Any loss of our insurance coverage would impede our ability to mitigate any losses our customers might suffer if we are unable to access private keys. Additionally, any such security compromises or any business continuity issues affecting our cryptocurrency Liquidity Providers might affect the ability or willingness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1"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our customers to trade or hold cryptocurrencies on our platforms, might result in litigation and regulatory enforcement actions, and could harm customer trust in us and our products generally.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The prices of most cryptocurrencies are extremely volatile. Fluctuations in the price of various cryptocurrencies might cause uncertainty in the market and could negatively impact trading volumes of cryptocurrencies, and we may not effectively identify, prevent or mitigate cryptocurrency market risks, any of which would adversely affect the success of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prices of most cryptocurrencies are based in part on market adoption and future expectations, which might or might not be realized. As a result of these and other factors, the prices of cryptocurrencies are highly speculative. The prices of cryptocurrencies have been subject to dramatic fluctuations (including as a result of prior bear market cycles), which have impacted, and will continue to impact, our trading volumes and operating results and might adversely impact our growth strategy and business. Several factors could affect a cryptocurrency’s price, including, but not limited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Changes in the software, software requirements or hardware requirements underlying a blockchain network, such as a fork. Forks have occurred and are likely to occur again in the future and could result in a sustained decline in the market price of cryptocurrencies.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Changes in the rights, obligations, incentives, or rewards for the various participants in a blockchain network.</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maintenance and development of the software protocol of cryptocurrencies.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Cryptocurrency exchanges’ deposit and withdrawal policies and practices, liquidity on such exchanges, and interruptions in service from or failures of such exchanges.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Regulatory measures, if any, that affect the use and value of cryptocurrencies or regulatory or judicial assertions or determinations that certain cryptocurrencies are securities.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Competition for and among various cryptocurrencies that exist and market preferences and expectations with respect to adoption of individual currencies.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Actual or perceived manipulation of the markets for cryptocurrencies.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Actual or perceived connections between cryptocurrencies (and related activities such as mining) and adverse environmental effects or illegal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2"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Social media posts and other public communications by high-profile individuals relating to specific cryptocurrencies, or listing or other business decisions by cryptocurrency companies relating to specific cryptocurrencies.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Expectations with respect to the rate of inflation in the economy, monetary policies of governments, trade restrictions, and currency devaluations and revaluations.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Developments in mathematics, technology, digital computing, algebraic geometry, and quantum computing that could result in the cryptography that is used by many cryptocurrencies becoming insecure or ineffective.</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While we have observed a positive trend in the total market capitalization of cryptocurrency assets over the long term,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we currently support several cryptocurrencies for trading, market interest in particular cryptocurrencies can also be volatile and there are many cryptocurrencies in the market that we do not support. Our business could be adversely affected, and growth in our net revenue earned from cryptocurrency transactions could slow or decline, if the markets for the cryptocurrencies we support deteriorate or if demand moves to other cryptocurrencies not supported by our platforms. The listing committees of RHC and RHEU conduct regular reviews of the cryptocurrencies available on our platforms to ensure that they continue to meet our requirements under our internal policies and procedures (collectively, the “Crypto Listing Frameworks”) for continued support on our platforms and possess the authority to delist and cease support for any asset based on various factors. Bitstamp also conducts similar reviews of cryptocurrencies available on its platform in accordance with its internal listing procedures and processes. Ceasing support for a cryptocurrency with substantial market interest (or if our consideration to cease supporting such a cryptocurrency becomes known) has in the past exposed, and may continue to expose us to negative attention, adversely impacting our business, including revenue loss from no longer supporting a cryptocurrency or customer reaction to such a decision. For instance, in the past we have encountered an influx of customer complaints related to our decisions to cease support for certain cryptocurrencies.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Volatility in the values of cryptocurrencies caused by the factors described above or other factors might impact our regulatory net worth requirements as well as the demand for our services and therefore have an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Although neither our board of directors nor management have to date identified any material gaps or weaknesses with respect to our existing risk management processes and policies in light of recent cryptocurrency market conditions, we remain subject to cryptocurrency market risks. If we are unable to effectively identify, prevent or mitigate such risks, the success of our business, our financial condition and results of our operations may be adversely affected. As part of our overall risk management processes, the ERM team maintains an enterprise wide risk management standard to ensure risks are evaluated in a clear and transparent manner and partners with various front-line risk teams and risk owners across Robinhood to foster consistent risk management practices across Robinhood. In particular, the ERM team provides governance over risk management practices and reports top risks to the Safety Committee, along with planned mitigants and monitoring procedures. The Safety Committee reviews management’s exercise of its responsibility to identify, assess, manage, monitor and mitigate material risks not specifically allocated to the board of directors or another of its committees. In addition to RHM-level processes, entity-level risk teams affiliated with our operating subsidiaries, including one at RHC, perform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3"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ongoing risk operations, including risk and control self-assessments and maintaining risk and control registers. As management identifies operational risks, the entity-level risk team tracks the risk drivers and planned mitigating measures and escalates such risks, as needed, to the ERM team.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light of events in 2022, cryptocurrency market risks were identified as a key risk to the Company and management has accordingly implemented certain measures, including enhanced monitoring for cryptocurrency markets (such as reducing net open position limits with liquidity partners through more frequent settlement; adding additional banking and liquidity partners; monitoring on-platform trading activity, coin deposits and withdrawals; and ongoing diligence for listings and banking relationships). The ERM team has also provided quarterly updates to the Safety Committee with respect to such risks and responses. In addition, RHC and RHEU maintain listing committees as described above.</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June 2025, we started offering leverage to customers of RHEU and Bitstamp Financial Services Ltd investing in crypto-asset perpetuals. By permitting customers to invest in crypto-asset perpetuals with the use of leverage, both our customers and we are subject to certain risks, especially during periods of extreme volatility in the crypto-asset markets.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In the U.S., any particular cryptocurrency’s status as a “security” and cryptocurrency transaction’s status as an “investment contract” is subject to a high degree of uncertainty and if we have not properly characterized one or more cryptocurrencies or cryptocurrency transactions, we might be subject to legal and regulatory scrutiny, investigations, fines, and other penalties.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currently facilitate customer trades for certain cryptocurrencies that we have analyzed under applicable internal policies and procedures and, for cryptocurrencies supported on our RHC and Bitstamp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US platforms, that we believe are not securities under relevant U.S. federal and state securities laws. Determining whether any given cryptocurrency is a security is a highly complex, fact-specific analysis, which may change over time based on changes in the cryptocurrency and its related ecosystem and on legal and regulatory developments. Different parties may reach different conclusions about the outcome of this analysis based on the same facts. The SEC has stated that the security (or non-security) status of a given crypto asset depends on the facts and circumstances and must be analyzed appropriately in light of the asset’s characteristics, uses, and functions. The SEC, individual Commissioners and the SEC Staff have previously taken positions that certain cryptocurrencies are “securities” in the context of settled or litigated enforcement actions. Although the SEC has not historically provided advance confirmation on the status of any particular cryptocurrency as a security, on March 17, 2026, the SEC issued an interpretation clarifying how the federal securities laws apply to certain crypto assets and transactions involving crypto assets. In this interpretive release, the SEC classified crypto assets into five categories based on their characteristics, uses, and functions. The first four: (i) “Digital commodities,;” (ii) “digital collectibles;” (iii) “digital tools;” and (iv) “stablecoins,” are not themselves securities according to the SEC. By contrast, the SEC classified “digital securities” (commonly known as “tokenized” securities) as financial instruments enumerated in the definition of a “security.” In the interpretive release, the SEC also specifically identified the following examples of digital commodities: Aptos (APT); Avalanche (AVAX); Bitcoin (BTC); Bitcoin Cash (BCH); Cardano (ADA); Chainlink (LINK); Dogecoin (DOGE); Ether (ETH); Hedera (HBAR); Litecoin (LTC); Polkadot (DOT); Shiba Inu (SHIB); Solana (SOL); Stellar (XLM); Tezos (XTZ); and XRP (XRP). However, the SEC clarified in the interpretive release that a non-security crypto asset may nevertheless be offered and sold subject to an investment contract, which is a security. Moreover, the SEC’s interpretation is not binding on any court or other agency. </w:t>
      </w:r>
    </w:p>
    <w:p>
      <w:pPr>
        <w:pStyle w:val="TextBody"/>
        <w:bidi w:val="0"/>
        <w:spacing w:before="0" w:after="0"/>
        <w:jc w:val="left"/>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Staff of the SEC’s Division of Corporation Finance have also published statements clarifying that the Division does not view the offers and sales of certain “stablecoins” and “meme coins” to constitute securities transactions. Moreover, SEC Staff have authored informal, non-binding “no-action” letters to the promoters of certain digital assets stating that the Staff would not recommend enforcement action to the SEC on the basis that transactions in such digital assets, as described to the Staff by their respective promoters, are securities transactions, including with respect to the issuance of tokens in connection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4"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internet and energy decentralized physical infrastructure projects and a consumer finance rewards program. However, such statements and views are not official policy statements by the SEC and reflect only the SEC Staff’s and speakers’ views, which are not binding on the SEC or any court or other agency (including, for instance, the NYDFS, which published a consumer alert in January 2025 concerning meme coins that did not opine on whether meme coins constituted securities but warned consumers of the risks of such coins), may be withdrawn at any time without notice or comment by the SEC or its senior officials, cannot be generalized to any other cryptocurrency, and might evolve (including, for instance, recently enacted legislation provides guidelines for the regulation of stablecoins in the U.S., which may differ from the views set forth in the SEC Staff statement regarding stablecoins). Additionally, U.S. regulators have in the past expressed concerns about cryptocurrency platforms adding multiple new coins, some of which they may view as unregistered securities. Although our policies and procedures are intended to 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 the SEC, a state regulator, or a court were to assert or determine that a cryptocurrency supported by our RHC or Bitstamp US platforms is a “security” under U.S. law.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example, in June 2023, the SEC charged Binance and, separately, Coinbase with operating their respective cryptocurrency trading platforms as unregistered national securities exchanges, brokers, and clearing agencies, and in doing so, the SEC alleged that certain cryptocurrencies supported on their respective platforms are securities. The charges also implicated Coinbase’s staking-as-a-service program and its non-custodial wallet. In November 2023, the SEC brought similar charges against Kraken, alleging that it operated as an unregistered securities exchange, brokerage and clearing agency. In February 2025, March 2025, and May 2025, each of Coinbase, Kraken, and Binance, respectively, entered into a court-approved joint stipulation with the SEC to dismiss each of the SEC’s lawsuits against such parties with prejudice. Several other cryptocurrency market participants, including us, have also announced that the SEC informed them that the SEC was terminating its investigation or enforcement action into their firm. Also, in April 2025, the Office of the Deputy Attorney General issued a memorandum (the “April DOJ Memo”), setting out new enforcement priorities for digital asset-related investigations and prosecutions by the DOJ. The April DOJ Memo directed prosecutors not to “target virtual currency exchanges, mixing and tumbling services, and offline wallets for the acts of their end users or unwitting violations of regulations.” The April DOJ Memo explained that the DOJ will instead prioritize cases against individuals who cause financial harm to digital asset investors and consumers and/or use digital assets in furtherance of other criminal conduct. The decisions by regulators not to bring enforcement actions provide, and any other action, settlement, or related investigation by regulators, might provide, additional guidance on the legal status of cryptocurrencies as securities more generally, which has affected and might significantly affect the actual or perceived regulatory status and value of cryptocurrencies we currently support or might support in the future. On January 21, 2025, the SEC announced that then-Acting Chairman Mark Uyeda “launched a crypto task force dedicated to developing a comprehensive and clear regulatory framework for crypto assets.” The task force is focused on helping the SEC “draw clear regulatory lines, provide realistic paths to registration, craft sensible disclosure frameworks, and deploy enforcement resources judiciously.” The SEC formed the Crypto Task Force to provide clarity on the application of the federal securities laws to the crypto asset market and to recommend practical policy measures that aim to foster innovation and protect investors. Since its formation, the Crypto Task Force has accepted written submissions on various cryptocurrency-related topics from industry participants; hosted roundtables on topics relating to security status, trading, custody, tokenization, DeFi, and financial surveillance and privacy; and has held meetings with interested stakeholders. On July 31, 2025, SEC Chairman Paul Atkins announced the launch of “Project Crypto,” described as “a Commission-wide initiative to modernize the securities rules and regulations to enable America’s financial markets to move on-chain.” In connection with this initiative, Chairman Atkins indicated that he has asked the Crypto Task Force to develop proposals to implement recommendations in the July 30, 2025, President’s Working Group on Digital Asset Markets Report, as well as a potential innovation exemption. While these developments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5"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positive, the Crypto Task Force’s work remains in the early stages, and no formal rulemaking or exemptions have been proposed or adopted to date. In addition, notwithstanding recent positive developments involving the SEC, DOJ, and other federal regulators, state regulators retain independent authority to enforce their own securities laws, which may differ from or be interpreted more expansively than federal law. As a result, a state regulator could determine that a particular digital asset, product, or service constitutes a security under state law, even if the SEC has elected not to pursue enforcement action, the SEC has provided informal guidance or assurances to the contrary, or the asset, product, or service is otherwise excluded from the definition of a security at the federal level. Moreover, private litigants may assert claims under federal or state securities laws based on similar theories, regardless of the positions taken by federal regulators.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From time to time, we have received with respect to our RHC platform, and might in the future receive, SEC inquiries regarding specific cryptocurrencies supported on our RHC or Bitstamp US platforms and added features. Since December 2022, we have received investigative subpoenas from the SEC regarding, among other topics, RHC’s supported cryptocurrencies, custody of cryptocurrencies, and platform operations. During our discussions with the SEC Staff in the fourth quarter of 2023, the Staff stated that they were considering whether to recommend that the SEC find that certain cryptocurrencies supported by our RHC platform are securities. In the second quarter of 2024, we received a “Wells Notice” stating that the SEC Staff made a “preliminary determination” to recommend that the SEC file an enforcement action against RHC alleging violations of Sections 15(a) and 17A of the Exchange Act. On February 21, 2025, the SEC Division of Enforcement closed the investigation, advising RHC in writing that it had concluded its investigation and did not intend to move forward with recommending an enforcement action.</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To the extent that the SEC or a court asserts or determines that any cryptocurrencies supported by our RHC or Bitstamp US platforms are securities, that assertion or determination could prevent us from continuing to facilitate trading of those cryptocurrencies (including ceasing support for such cryptocurrencies on our RHC or Bitstamp US platforms) or offering those services. It could also result in regulatory enforcement penalties and financial losses in the event that we have liability to our customers and need to compensate them for any losses or damages. We could be subject to judicial or administrative sanctions, including disgorgement or penalties which could be material, for failing to offer or sell the cryptocurrency in compliance with securities registration requirements, or for acting as a securities broker or dealer, national securities exchange, clearing agency, or other regulated entity without appropriate registration. Such an action could result in injunctions and cease and desist orders, as well as civil monetary penalties, fines, and disgorgement, criminal liability, and reputational harm. Customers that traded such supported cryptocurrency through our RHC or Bitstamp US platforms and suffered trading losses might also seek to rescind transactions that we facilitated on the basis that they were conducted in violation of applicable law, which could subject us to significant liability and losses. We might also be required to cease facilitating transactions in the supported cryptocurrency, which could negatively impact our business, operating results, and financial condition. Further, if any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In addition, our growth might be adversely affected if we are not able to expand our RHC platform to include additional cryptocurrencies that the SEC has determined to be securities or that we believe are likely to be determined to be securities.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continue to analyze the cryptocurrencies supported on the RHC and Bitstamp US platforms under our Crypto Listing Frameworks and Bitstamp’s similar internal policies, respectively, on a periodic basis to ensure that they continue to meet the applicable internal requirements for continued support on the RHC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6"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and Bitstamp US platforms which include, among other factors, that we continue to believe they are not securities under relevant U.S. federal and state securities laws. We may make the determination to cease support for a cryptocurrency for any one or a variety of factors based on a totality of the circumstances under our Crypto Listing Frameworks and Bitstamp’s similar internal policies, as applicable. However, an assertion or determination by the SEC or a court that a cryptocurrency supported by our RHC or Bitstamp US platforms constitutes a security could also result in our determination that it is advisable to remove that cryptocurrency and others with similar characteristics to the cryptocurrency that was asserted or determined to be a security from our RHC or Bitstamp US platforms. If we proactively remove certain cryptocurrencies from our RHC or Bitstamp US platforms because the SEC, a state, or a court has asserted or determined they constitute securities or because they share similarities with such cryptocurrencies or otherwise do not meet our Crypto Listing Frameworks and Bitstamp’s similar internal policies, as applicable, it has and could in the future negatively impact customer sentiment and our business, operating results, and financial condition, especially to the extent that our competitors continue to support such cryptocurrency on their platforms.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in June 2025, we launched “Classic Stock Tokens” (formerly “Robinhood Stock Tokens”) in certain jurisdictions in the EEA, which are designed to provide eligible customers in the EEA with exposure to certain U.S. exchange-listed stocks and ETPs. While we currently only offer Classic Stock Tokens in the EEA, because the assets underlying the tokens are certain U.S. stocks and ETPs, the SEC could assert jurisdiction over our Classic Stock Token offering and claim that transactions in our Classic Stock Tokens must be conducted in compliance with applicable federal laws and regulations. See “-Our launch of Stock Tokens globally, continued offering of Classic Stock Tokens and perpetual futures trading in the EEA, and updates to Robinhood Wallet to allow eligible users in selected jurisdictions to access Stock Tokens and decentralized perpetual futures via a third party decentralized exchange within the Robinhood Wallet may expose us to significant regulatory, litigation, contractual, operational, and reputational risks” for more information.</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If the SEC, a state regulator or a private litigant alleges that staking or onchain lending services we offer in the U.S. involve unregistered offers and sales of securities or unregistered securities broker-dealer activity in violation of federal securities laws or applicable state laws or regulations, and the courts agree with such plaintiff, we may be required to cease our staking or onchain lending activities and may be subject to monetary penalties and other sanctions.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July 2026, we launched Robinhood Earn. In several enforcement actions filed by the SEC under the prior Chair, the SEC alleged that certain companies had offered retail crypto lending products as unregistered securities. For example, in February 2022, the SEC settled charges against BlockFi Lending LLC for failing to register its BlockFi Interest Accounts and in January 2023, the SEC settled charges against Nexo Capital Inc. In January 2023, the SEC filed a complaint against Genesis Global Capital, LLC (“Genesis”) and Gemini Trust Company, LLC (“Gemini”) for failing to register the Gemini Earn program, which was followed by several related actions by New York regulators against Genesis and Gemini. The SEC settled its charges against Genesis in March 2024, followed by Genesis’ May 2024 settlement with the New York Attorney General. Gemini entered settlements with the New York State Department of Financial Services and the New York Attorney General in February and June of 2024, respectively, after which the SEC exercised its discretion to dismiss its charges against Gemini in January 2026. On July 22, 2026, SEC Commissioner Hester M. Peirce released a public statement highlighting that crypto vaults and lending strategies may, depending on the specific facts and circumstances, implicate the federal securities laws. Commissioner Peirce’s statement also encouraged engagement from market participants and the public on whether modifications to SEC rules may be necessary to accommodate crypto vaults, onchain lending, or other innovations, while still “ensuring that investors are protected, markets are fair, orderly, and efficient, and capital formation is facilitated.”</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June 2025, we launched crypto staking services to eligible customers in certain jurisdictions in the U.S. In several enforcement actions filed by the SEC under the prior administration, the SEC alleged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7"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certain companies had offered staking services to retail customers for various digital assets as unregistered securities or acted as unregistered securities broker-dealers in facilitating offers or sales of third-party staking services in violation of the registration provisions of the Securities Act or the Exchange Act. For example, as described under “-Risks Related to Cryptocurrency Products and Services-In the U.S., any particular cryptocurrency’s status as a “security” and cryptocurrency transaction’s status as an “investment contract” is subject to a high degree of uncertainty and if we have not properly characterized one or more cryptocurrencies or cryptocurrency transactions, we might be subject to legal and regulatory scrutiny, investigations, fines, and other penalties.” In 2023, the SEC charged Kraken, Coinbase and Binance with offering and selling digital asset staking-as-a-service programs to retail customers as unregistered investment contract schemes in violation of the Securities Act. In June 2024, the SEC charged Consensys Software Inc. with acting as an underwriter of unregistered securities in violation of the Securities Act and as an unregistered broker in violation of the Exchange Act by marketing the Lido and Rocket Pool third-party liquid staking-as-a-service programs to retail customers through Consensys’ “Metamask Staking” platform. In March 2025, the SEC filed a joint stipulation with Consensys to dismiss, with prejudice, the Commission’s enforcement action against it. As noted above, the litigation against Binance, Coinbase and Kraken has also been dismissed.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our staking and onchain lending services do not offer or sell any “securities” subject to the securities laws or SEC regulations. We also believe that the structure, terms, and other characteristics of the staking services offered by RHC generally align with those described in the SEC’s March 2026 interpretation clarifying how the federal securities laws apply to certain types of crypto assets and certain transactions involving crypto assets, wherein the SEC stated that protocol staking activities of the nature described therein do not involve the offer and sale of a security. However, the SEC’s interpretation is not binding on any court or other agency and there is no guarantee that the SEC will agree with our assessment of our staking services. Accordingly, we do not know if the SEC or the courts will ultimately agree with our interpretation of the applicable federal laws or regulations.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there is no guarantee that state regulators will agree with our interpretation of applicable state laws or regulations. For example, several state regulators have issued cease and desist orders to, or filed lawsuits against, Coinbase with respect to its staking services, alleging that Coinbase’s staking services constitute unregistered securities offerings under applicable state laws and regulations. While certain of the state regulators have since dismissed their lawsuits against Coinbase with respect to its staking services, not all state regulators have done so.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Helvetica;sans-serif" w:hAnsi="Helvetica;sans-serif"/>
          <w:b w:val="false"/>
          <w:color w:val="000000"/>
          <w:sz w:val="20"/>
        </w:rPr>
        <w:t xml:space="preserve">If the SEC, a state regulator, or a private litigant were to prevail on claims that our staking or onchain lending </w:t>
      </w:r>
      <w:r>
        <w:rPr>
          <w:rFonts w:ascii="Helvetica;sans-serif" w:hAnsi="Helvetica;sans-serif"/>
          <w:b w:val="false"/>
          <w:color w:val="000000"/>
          <w:sz w:val="24"/>
        </w:rPr>
        <w:t>services offered in the U.S. violate the Securities Act, Exchange Act or applicable state laws and regulations, we may be subject to monetary penalties, liabilities, reputational harm, and may be required to cease offering these services.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Cryptocurrency laws, regulations, regulatory guidance, regulatory interpretations,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Domestic and foreign regulators and governments are increasingly focused on the regulation of cryptocurrencies. In the U.S., cryptocurrencies are regulated by both federal and state authorities, depending on their use. For example, on October 13, 2023, California enacted the DFAL, which became effective on July 1, 2026, and prohibits any person or entity from engaging in, or holding itself out as engaging in, digital financial asset business activity with or on behalf of a California resident (including businesses with a place of business in California) unless that person or entity (i) holds a license under the DFAL, (ii) has submitted a license application on or before July 1, 2026 and is awaiting approval or denial, or (iii) is exempt from licensure. Once licensed, a licensee must comply with requirements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8"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record maintenance, fee and risk disclosures, cybersecurity, customer protection, anti-fraud, and AML. We have submitted applications for licenses under DFAL in connection with our cryptocurrency trading operations in California. In addition, the NYDFS requires any person or entity engaging in virtual currency activity for third parties in or involving New York, excluding merchants and consumers, to obtain a license, commonly referred to as a “BitLicense”, from the NYDFS and to comply with AML, cybersecurity, consumer protection, and financial and reporting requirements, among others, or, alternatively, to be chartered under the New York Banking Law and be approved by the NYDFS to engage in virtual currency business activity. We will continue to monitor developments in state-level legislation, guidance, and regulations applicable to us. Cryptocurrency market disruptions and resulting governmental interventions are unpredictable, and may render cryptocurrencies, or certain cryptocurrency business activities, illegal. As regulation of cryptocurrencies continues to evolve, there is a substantial risk of inconsistent regulatory guidance among federal and state agencies and among state governments which, along with potential accounting and tax issues and other requirements relating to cryptocurrencies, could impede the growth of our cryptocurrency operations. Additionally, regulation in response to the climate impact of cryptocurrency mining could negatively impact cryptocurrency trading on our platforms.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cryptocurrency accounting rules and regulations that we must comply with are complex and subject to interpretation by the FASB, the SEC, and various bodies that promulgate and interpret accounting principles. A change in these rules, regulations, or interpretations could significantly impact our reported results of operations and financial condition, and could also affect the reporting of transactions completed before the announcement or effectiveness of a change. Further, there are limited precedents for the financial accounting treatment of cryptocurrency assets, including valuation and revenue recognition. While the staff of the SEC’s Division of Trading and Markets provided certain limited FAQ guidance on May 15, 2025 with respect to net capital considerations, no formal guidance has been provided by the FASB or the SEC. Accordingly, there remains significant uncertainty regarding the appropriate accounting for cryptocurrency asset transactions, cryptocurrency assets, and related revenues. Uncertainties in, or changes to regulatory or financial accounting standards could require us to change our accounting methods or restate our financial statements, and could impair our ability to provide timely and accurate financial information, which could adversely affect our financial statements, and result in a loss of investor confidence.</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future regulatory actions or policies, including, the assertion of jurisdiction by domestic and foreign regulators and governments over cryptocurrency and cryptocurrency markets could limit or restrict cryptocurrency usage, custody, or trading, or the ability to convert cryptocurrencies to fiat currencies. This includes recent legislative actions related to the CLARITY Act, and the GENIUS Act. See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Additionally, some lawmakers and regulators have raised questions about Transaction Rebates from cryptocurrency trading. Transaction Rebates from cryptocurrency trading have historically comprised, and might continue to comprise, a significant percentage of our total net revenues. The current presidential administration and the control of Congress also present considerable uncertainty regarding such regulatory actions or policies. Any future regulatory actions or policies could reduce demand for cryptocurrency trading and might materially decrease our revenue derived from Transaction Rebates in absolute terms and as a proportion of our total revenues.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legal framework governing the characterization of cryptocurrencies held “in custody,” including whether and how such assets are treated as customer property versus property of an insolvency estate, remains evolving and may differ by jurisdiction and by product structure, contractual terms, and operational facts. In certain prior bankruptcy proceedings, cryptocurrencies held in custody on behalf of customers have become subject to the claims of creditors, the automatic stay, court-supervised distribution processes, or other restrictions, and customers have been treated as general unsecured creditors with respect to some or all of their cryptocurrency entitlements. However, based on the terms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9"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our user agreement, the structure of our crypto offerings, and applicable law, and, although we have not obtained a formal legal opinion on this matter, after consultation with internal and external legal counsel, we believe that the cryptocurrency we hold in custody for users of our platforms should be respected as users’ property (and should not be available to satisfy the claims of our general creditors) in the event we were to enter bankruptcy. Although we are well-capitalized, to the extent users are concerned that cryptocurrencies might not be secure in a bankruptcy generally, their willingness to hold crypto in custodial accounts and their general interest in trading cryptocurrencies might decline.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Infrastructure Investment and Jobs Act significantly changes the tax reporting requirements applicable to brokers and holders of cryptocurrency and digital assets. On August 25, 2023, the U.S. Department of the Treasury and the Internal Revenue Service released proposed regulations on the sale and exchange of digital assets by brokers. On June 28, 2024, final regulations were issued that require information reporting by digital asset brokers on certain digital asset sales or exchanges that occur on or after January 1, 2025, and basis tracking for digital assets that are treated as “covered securities” if acquired on or after January 1, 2026. Starting on or after January 1, 2027, backup withholding will be required on certain sales and exchanges of cryptocurrency and digital assets where customer tax documentation is missing or invalid. Implementing these requirements, and any further legislative changes or related guidance from the Internal Revenue Service and the U.S. Department of the Treasury, might significantly impact our tax reporting and withholding processes and result in increased compliance costs. Failure to comply with these new information reporting and withholding requirements might subject us to significant tax liabilities and penalties. Similarly, the OECD has published final guidance on a new “crypto-asset reporting framework” and amendments to the existing global “common reporting standard” that might apply to our international operations. These new rules might give rise to potential liabilities or disclosure requirements, and implementation may have a significant impact on our operations and result in increased costs.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continued efforts to expand our business internationally also subject us to additional laws, regulations, and other governmental or regulatory scrutiny as discussed in “-Risks Related to Our Business-We currently operate in certain international markets and plan to further expand our international operations, which exposes us to significant new risks, and our international expansion efforts might not succeed” and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Various foreign jurisdictions have adopted, and may continue to adopt laws, regulations or directives that affect crypto-asset industry participants, the crypto-asset markets, and their users, particularly trading platforms and service providers that fall within such jurisdictions’ regulatory scope. For example, the provisions of MiCA went into effect as of December 30, 2024, and the FCA announced new proposals for certain aspects of the prudential requirements for crypto firms. See “Risks Related to Our Business- We have in the past needed, and may in the future need, additional capital to provide liquidity and support business growth and objectives, and this capital might not be available to us on reasonable terms, if at all, might result in stockholder dilution, or might be delayed or prohibited by applicable regulations” for more information. Accordingly, in addition to the licenses RHEU and Bitstamp Financial Services Ltd. obtained under MiFID, RHEU and Bitstamp Europe S.A. have obtained licenses to operate as crypto asset service providers under MiCA. As noted above, monitoring and maintaining our compliance with the laws and regulations to which we are subject is complex and requires significant resources. Any failure to comply with applicable laws and regulations could result in regulatory fines, suspensions of personnel or other sanctions, including revocation of our registration or that of our subsidiaries, which could, among other things, require changes to our business practices and scope of operations or harm our reputation, and, in turn could have a material adverse effect on our results of operations, financial condition or business. New laws or regulations, or new interpretations of existing laws or regulations, could have a materially adverse impact on our ability to operate as currently intended, or require us to obtain additional or newly created registrations or licenses and incur significant expense in order to ensure compliance. Additionally, under recommendations from FinCEN, and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30"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Action Task Force, the United States and several international jurisdictions in which RHEU or Bitstamp operate have imposed the Funds Travel Rule and the Funds Transfer Rule (collectively the “Travel Rule”) on financial service providers in the cryptoeconomy. We may incur high costs to implement and comply with the Travel Rule, could face penalties for technical violations, and could lose customers if compliance negatively affects customer service experience.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Crypto Transfers, crypto staking and onchain lending, Robinhood Wallet, Robinhood Connect, and Robinhood Earn features could result in loss of customer assets, customer disputes, and other liabilities, which could harm our reputation and adversely impact trading volumes and transaction-based revenues.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U.S., we allow customers to deposit and withdraw cryptocurrencies to and from our RHC and Bitstamp platforms through our Crypto Transfers feature in the states in which RHC or Bitstamp operates. We also allow customers of RHEU to deposit and withdraw crypto to and from our RHEU platform. Bitstamp also allows its customers to deposit and withdraw crypto to and from the Bitstamp platform. Crypto Transfers are processed using Robinhood’s or Bitstamp’s general custodial infrastructure in which we hold some cryptocurrencies on behalf of customers; when transactions are completed, coins are allocated to and from individuals’ accounts in our customer records. Additionally, RHC U.S. customers have access to Robinhood Connect, allowing their customers to use their RHC accounts to buy and transfer crypto, and fund their self-custody wallets.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Crypto Transfers initiated by users are subject to a heightened risk of user error. Under blockchain protocol, recording a transfer of cryptocurrency on the blockchain involves both the private key of the sending wallet and the unique public key of the receiving wallet. Such keys are strings of alphanumeric characters. For a customer to receive cryptocurrency on our platforms, the customer needs to arrange for the owner of an external source wallet to “sign” a transaction with the private key of that external wallet, directing a transfer of the cryptocurrency to our receiving custodial wallet by inputting the public key (which we provide to the customer) of our custodial wallet. Similarly, in order to withdraw cryptocurrency from our platforms, the customer needs to provide us with the public key of the external wallet to which the cryptocurrency is to be transferred, and we “sign” the transaction using the private key of our wallet. Some crypto networks might require additional information to be provided in connection with any transfer of cryptocurrency to or from our platforms. A number of errors could occur in the process of depositing or withdrawing cryptocurrencies to or from our platforms, such as typos, mistakes, or the failure to include information required by the blockchain network. For instance, a user might include typos when entering our custodial wallet’s public key or the desired recipient’s public key when depositing to and withdrawing from our platforms,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 Bitcoin wallet address can be used to send and receive Bitcoin only. If any Ethereum, Dogecoin, or other cryptocurrency is sent to a Bitcoin wallet address, for example, or if any of the other foregoing errors occur, such cryptocurrencies could be permanently and irretrievably lost with no means of recovery.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provide crypto staking services through our RHC, RHEU and Bitstamp platforms in which eligible customers of RHC, RHEU and Bitstamp are given the option to “stake” eligible crypto-assets. Staking allows customers to earn rewards by locking up the cryptocurrencies, subject to the network and cryptocurrency’s requirements and bonding periods, and so limits customers’ access to their funds during such time. Once a customer chooses to opt in to our staking services, we delegate the amount of crypto-assets identified by such customer for staking to a validator operated by either (i) RHC, RHEU or Bitstamp, as applicable, or (ii) a third-party service provider we engage in connection with such services. Some networks may further require customer assets to be transferred into smart contracts on the underlying blockchain networks not under our or anyone’s control. If our third-party service provider or any such smart contracts fail to behave as expected, suffer cybersecurity attacks, experience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31"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issues, or encounter other problems, customers’ assets may be irretrievably lost. In addition, certain blockchain networks dictate requirements for participation in the relevant decentralized governance activity, and may impose penalties, or “slashing,” if the relevant activities are not performed correctly, such as if the staker, delegator, or baker acts maliciously on the network, “double signs” any transactions, or experiences extended downtimes. If we or our third-party service provider is slashed by the underlying blockchain network, customers’ assets may be confiscated, withdrawn, or burnt by the network, resulting in losses for which we may be responsible. Furthermore, certain types of staking require the payment of transaction fees on the underlying blockchain network, and such fees can become significant as the amount and complexity of the transaction grows, depending on the degree of network congestion and the price of the network token. If we experience a high volume of such staking requests from customers on an ongoing basis, we could incur significant costs.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Bitstamp Europe S.A., Bitstamp Limited and Bitstamp Global Limited market crypto-asset lending services which are provided directly to customers by a third-party service provider. Customers lend their crypto-assets directly to a third party and the third party then on-lends to borrowers. Customer crypto-assets leave the custody of Bitstamp when customers access these services. There is a risk that borrowers may default on loans by the third-party service provider causing a financial loss to customers and in a worst case scenario the insolvency of the third-party service provider or its related group companies. Any of these risks could negatively impact our reputation, business, financial condition, and results of operations and discourage existing and future customers from utilizing our products and services.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Robinhood Wallet, our self-custody, web3 wallet, users have sole access and control over their cryptocurrencies on certain networks and personally hold and maintain their private keys. Additionally, Robinhood Earn, provides a software interface allowing customers to create and manage a self-custody wallet to engage in onchain lending. Although we do not custody cryptocurrencies held in a user’s Robinhood Wallet or self-custody wallet created in connection with Robinhood Earn, and do not have access to users’ private keys, users who lose their private keys, and thus access to their Robinhood Wallet or self-custody wallet balances, may react negatively. Although our account agreements for Crypto Transfers, licensing agreements for Robinhood Wallet, and the Robinhood Onchain Lending Disclosure disclaim responsibility for losses caused by user errors, such incidents could result in user disputes, damage to our brand and reputation, legal claims against us, and financial liabilities.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allowing customers to deposit and withdraw cryptocurrencies to and from our platforms increases the risk that our platforms might be exploited to facilitate illegal activity such as fraud, gambling, money laundering, tax evasion, and scams. Crypto Transfers, Robinhood Wallet, Robinhood Connect, and Robinhood Earn also expose us to heightened risks related to potential violations of trade sanctions, including OFAC regulations, and AML and counter-terrorist financing laws, which among other things impose strict liability for transacting with prohibited persons. We engage blockchain analytics vendors to help determine whether the external wallets involved in Crypto Transfers are controlled by persons on prohibited lists or involved in fraudulent or illegal activity. However, fraudulent and illegal transactions and prohibited status could be difficult or impossible for us and our vendors to detect in some circumstances. The use of our platforms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A temporary or permanent blockchain “fork” could adversely affect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32"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protocol networks, as applicable, remain uninterrupted, although such modifications might cause certain cryptocurrencies to fail our Crypto Listing Frameworks. However, if less than a substantial majority of users and miners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Both Bitcoin and Ethereum protocols have been subject to “forks” that resulted in the creation of new networks, including, among others, Bitcoin Cash, BSV, Bitcoin Diamond, Bitcoin Gold, Ethereum Classic, and Ethereum Proof-of-Work.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might harbor ill will towards other communities. As a result, certain community members might take actions that adversely impact the use, adoption and price of Bitcoin, Ethereum or any of their forked alternatives.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gain the majority of the mining power of that network. Such disruption and loss could cause our company to be exposed to liability, even in circumstances where we have no intention of supporting a cryptocurrency compromised by a fork.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Moreover, we might decide not to or not be able to support a cryptocurrency resulting from the fork of a network which might cause our customers to lose confidence in us or reduce their engagement on our platforms. In assessing whether we will support a cryptocurrency 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our Crypto Listing Frameworks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 of the affiliated third-party miner and developer community. To the extent that we decide not to support, or to cease support of, certain forked cryptocurrencies, it could negatively impact customer sentiment and our business, operating results, and financial condition, especially to the extent that our competitors continue to support such forked cryptocurrencies on their platforms.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platforms clearly indicates that we have the sole discretion to determine whether we will support a forked network and the approach to such forked cryptocurrencies and that we may temporarily suspend trading for a cryptocurrency whose network is undergoing a fork without advance notice to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33"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Regardless of the foregoing, we might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Any inability to maintain adequate relationships with third-party banks, Liquidity Providers, and cryptocurrency exchanges with respect to, and any inability to settle customer trades related to, our cryptocurrency offerings, would disrupt our ability to offer cryptocurrency trading to customers.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rely heavily on third-party banks, Liquidity Providers, and cryptocurrency exchanges in connection with our provision of cryptocurrency products and services to our customers, with the exception of a cryptocurrency exchange operated by Bitstamp and acquired by Robinhood in June 2025. The cryptocurrency market operates 24 hours a day, seven days a week. The cryptocurrency market does not have a centralized clearinghouse, and the transactions in cryptocurrencies on our platforms rely on direct settlements between us and our customers and direct settlements between us and our Liquidity Providers or cryptocurrency exchanges after customer trades are executed. Accordingly, we rely on third-party banks to facilitate cash settlements with customers’ brokerage accounts, and we rely on the ability of Liquidity Providers and Bitstamp, where applicable, to complete cryptocurrency settlements with us to obtain cryptocurrency for customer accounts. In addition, we must maintain cash assets in our bank accounts sufficient to meet the working capital needs of our business, which includes deploying available working capital to facilitate cash settlements with our customers, Liquidity Providers and cryptocurrency exchanges (as well as maintaining the minimum capital required by regulators). If we, third-party banks, Liquidity Providers, or cryptocurrency exchanges have operational failures and cannot perform and facilitate our routine cash and cryptocurrency settlement transactions, we will be unable to support normal trading operations on our cryptocurrency trading platforms,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platforms, which could cause cryptocurrency trading volumes and transaction-based revenues to decline significantly.</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might also be harmed by the loss of any of our banking partners and Liquidity Providers. As a result of the risks of cryptocurrencies generally, many financial institutions have decided, and other financial institutions might in the future decide, not to provide bank accounts (or access to bank accounts), payments services, or other financial services to companies providing cryptocurrency products, including us. For instance, in May 2023, two prominent Liquidity Providers announced their respective decisions to limit their offerings in cryptocurrency trading within the U.S. If we, our cryptocurrency exchanges or our Liquidity Providers cannot maintain sufficient relationships with the banks that provide these services, if banking regulators restrict or prohibit banking of cryptocurrency businesses, if these banks impose significant operational restrictions, or if these banks were to fail or be taken over by the FDIC, such as occurred in the 2023 Banking Events, it could be difficult for us to find alternative business partners for our cryptocurrency offerings, which would disrupt our business and could cause cryptocurrency trading volumes and transaction-based revenues to decline significantly.</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might also be harmed by the loss of any of our liquidity partners. Unlike our customers’ orders for other cryptocurrencies, which are currently fulfilled by Liquidity Providers, our RHC customers’ orders for USDC and USDG, stablecoins backed by dollar denominated assets held by their respective issuer in segregated accounts with U.S. regulated financial institutions, are fulfilled directly from Circle, the original issuer and main liquidity provider of USDC, and Paxos, the issuer and main liquidity provider of USDG. If we cannot maintain sufficient relationships with Circle, Paxos, or any other Liquidity Providers, it could be difficult for us to find alternative liquidity partners for our stablecoin offerings, including our support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34"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USDG in connection with Robinhood Earn, which would disrupt our business and could cause cryptocurrency trading volumes and transaction-based revenues to decline significantly.</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From time to time, we might encounter technical issues in connection with changes and upgrades to the underlying networks of supported cryptocurrencies, which could cause revenues to decline and expose us to potential liability for customer losses.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 all of which could cause trading volumes and transaction-based revenue to decline and expose us to potential liability for customer losses.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Robinhood Chain is a permissionless, open blockchain network, and its failure to achieve sufficient adoption, technical vulnerabilities or protocol failures affecting the network, and the exploitation of the network for illicit activity could each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July 2026, we launched the Robinhood Chain, a permissionless, Ethereum-compatible Layer 2 blockchain built for financial services and tokenized real-world assets. Robinhood Chain is designed to be permissionless and developer-friendly, meaning that, in supported jurisdictions, developers can deploy or build smart contracts and applications and users can access, or transfer on Robinhood Chain, in each case without our approval. As a result, much of the activity that occurs on Robinhood Chain is conducted by independent third parties—including developers, applications, and users—and may be difficult or impossible for us to monitor, influence, prevent, or reverse. Nevertheless, we may bear reputational, legal, financial, and regulatory consequences arising from activity on Robinhood Chain even where the underlying conduct, code, or decision is that of a third party.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Robinhood Chain may fail to achieve sufficient adoption to support a viable, self-sustaining ecosystem. The market for blockchain infrastructure is highly competitive and rapidly evolving. Robinhood Chain competes for developers, applications, transaction volume, and users against a large number of established and emerging blockchain networks, many of which may benefit from greater brand recognition and broader integrations with third-party infrastructure and applications with which to attract developers and users. If Robinhood Chain fails to attract and retain a sufficient base of developers, applications, and active users relative to these competing networks, it may not achieve the transaction volume, liquidity, or network effects needed to support a viable, self-sustaining ecosystem. Our ability to generate revenue from Robinhood Chain depends significantly on the level of adoption and developer activity on the network. If Robinhood Chain fails to achieve sufficient adoption or loses market share to competing networks, our investment in developing and maintaining Robinhood Chain may fail to generate an adequate return, we may be required to recognize impairments related to that investment, and our financial condition and results of operations could be adversely affected. Insufficient adoption could also weaken the value of other products we build on or integrate with Robinhood Chain, including Stock Tokens, Robinhood Earn, Robinhood Wallet, and other digital asset offerings, compounding any adverse impact on our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Robinhood Chain may also be subject to technical risks, including software vulnerabilities, bugs, and failures that could result in loss of assets or network downtime. Furthermore, Robinhood Chain may contain coding errors, security flaws, or other defects that have not yet been identified. Because blockchain security practices are still maturing, even extensive audits may not catch every vulnerability. Should bad actors identify and exploit such vulnerabilities, or otherwise successfully attack the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35" name="Frame1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the consequences could include loss or theft of digital assets held on or transacted through Robinhood Chain, reputational harm, legal liability, and erosion of user confidence in the network. Because Robinhood Chain is a Layer 2 network built on the Ethereum blockchain, its security and operation depend in part on Ethereum itself. As a result, disruptions or vulnerabilities at the Ethereum layer, including bugs, consensus failures, network congestion, or advances in computing technology such as quantum computing that could undermine the cryptography underlying Ethereum, could adversely affect Robinhood Chain. We do not control, and have limited ability to influence, Ethereum's security or development. Any such event could result in loss or theft of digital assets, network downtime, and reputational harm. We expect that Robinhood Chain's underlying protocol will need to be upgraded from time to time to remediate newly discovered vulnerabilities, improve network performance, add new functionality, or comply with evolving regulatory requirements. Implementing such upgrades is inherently complex and carries meaningful execution risk: an upgrade could be delayed, fail to achieve its intended purpose, introduce unforeseen bugs or incompatibilities, or require coordinated action by third-party node operators, validators, or other ecosystem participants outside our control. Any failure to execute a necessary protocol upgrade effectively, or any adverse consequence resulting from an upgrade, could disrupt Robinhood Chain, harm our reputation, and adversely affect our business, financial condition, and results of operations. Further, because Robinhood Chain is designed to support smart contracts deployed both by us and by independent third parties, coding errors or security flaws in any such contract—regardless of who authored it—could cause users to suffer losses and harm our reputation. In these circumstances, we may face reputational harm, user attrition, or legal exposure even where the underlying flaw originated in code we did not author.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Robinhood Chain may be exploited for illicit activity, including fraud, scams, money laundering, sanctions evasion, and other illicit conduct, exposing us to liability, regulatory action, and reputational harm. Blockchain networks and digital assets have historically been targeted by bad actors for these purposes. Because Robinhood Chain is permissionless, third parties can deploy applications, tokens, and other activity on the network, and some of that activity may be unlawful, deceptive, or otherwise harmful to users—conduct we do not control and may not be able to prevent. Any illegal or improper uses of Robinhood Chain by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launch of Stock Tokens globally, continued offering of Classic Stock Tokens and perpetual futures trading in the EEA, and updates to Robinhood Wallet to allow eligible users in selected jurisdictions to access Stock Tokens and decentralized perpetual futures via a third-party decentralized exchange within the Robinhood Wallet may expose us to significant regulatory, litigation, contractual, operational, and reputational risks.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launched Stock Tokens in July 2026, which are tokenized debt securities issued by Robinhood Assets (Jersey) Limited (“RHJ”), a private limited company incorporated in Jersey. Stock Tokens provide economic exposure to underlying securities but do not grant investors any legal or beneficial rights in, or against the issuer of, those underlying securities. In connection with the issuance of Stock Tokens, RHJ has obtained certain consents in Jersey. However, such consents do not constitute prudential supervision of RHJ or an endorsement of Stock Tokens. The Financial Market Authority Liechtenstein, as competent authority under the EU Prospectus Regulation, has approved the Base Prospectus relating to RHJ's Tokenised Products Programme as meeting the standards of completeness, comprehensibility and consistency imposed by the EU Prospectus Regulation. Such approval is not to be considered as an endorsement of RHJ or the quality of its products. Stock Tokens are not registered under U.S. securities laws and are subject to restrictions in several jurisdictions, including, without limitation, the U.S., Canada, the United Kingdom, and Switzerland. Additionally, we updated the Robinhood Wallet in July 2026 to allow eligible users in selected jurisdictions to access Stock Tokens and decentralized perpetual futures via a third-party decentralized exchange within the Robinhood Wallet.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136" name="Frame1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June 2025, we launched Classic Stock Tokens for eligible customers in certain EEA jurisdictions. These products are designed to provide economic exposure to the price performance of certain U.S. stocks issued by publicly-listed U.S. companies and certain U.S. ETPs, without conveying legal ownership or shareholder rights, such as voting rights, related to such underlying stocks and ETPs. From time to time, we have offered, and may offer, token products that reference privately-held U.S. companies in connection with certain limited promotional initiatives in certain EEA jurisdictions (the “Private Company Stock Token Promotion”). Such tokens and Classic Stock Tokens do not represent, or entitle the holder to receive or convert into, actual securities of the referenced companies, and the value of the tokens is based on a defined reference price such as the market price of those securities or the price of those securities upon a liquidity event.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cryptocurrency industry is rapidly evolving, and the tokenization of real-world assets is a nascent development in the industry. Accordingly, there remains considerable regulatory uncertainty regarding how transactions, products, blockchain infrastructure, services or offerings involving tokenized real-world assets, including tokenized financial instruments, are or should be regulated. Similarly, there is considerable regulatory uncertainty regarding whether services available through Robinhood Non-Custodial Ltd. relating to tokenized real-world assets are or should be regulated. While certain lawmakers, regulators and other public officials in the U.S. and in foreign jurisdictions have previously made statements or issued guidance relating to the legal and regulatory framework applicable to tokenized real-world assets, the legal and regulatory framework is still in the early stages, is continuing to evolve rapidly and remains uncertain and fragmented across jurisdictions. For example, in July 2025, SEC Commissioner Hester M. Peirce issued a statement noting that tokenized securities are still securities, and therefore transactions involving tokenized securities are subject to federal securities laws. Advisory committees and staff of the CFTC have also discussed exploring a potential regulatory framework for tokenization of assets, including tokenized collateral.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Regulatory approaches to tokenized real-world assets and self-custody wallets outside of the U.S. are similarly in the early stages and vary by jurisdiction. For example, in the EU, MiCA and MiFID operate as complementary regimes within the EU’s financial regulatory framework, with MiCA governing crypto-assets that do not qualify as financial instruments and MiFID continuing to apply to crypto-assets that meet the definition of financial instruments. Accordingly, the application of MiCA or MiFID depends on the characteristics of the specific tokenized real-world asset. In Singapore, the MAS has issued guidance stating that a crypto-asset may constitute, among other things, a “share” where it confers or represents ownership interest in a corporation or a “securities-based derivatives contract” where the underlying asset is a share, debenture or unit in a business, which would require transactions in such crypto-assets to be conducted in compliance with applicable law and the applicable licenses.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offered Classic Stock Tokens and the Private Company Stock Token Promotion to eligible customers of RHEU in certain jurisdictions in the EEA and may offer similar tokens or promotions in the same or different jurisdictions in the future, and while we believe that such operations are, were, and will be in compliance with MiFID requirements applicable to derivatives (or other applicable requirements to the extent we offer similar tokens or promotions in different jurisdictions in the future), we cannot ensure that regulators would agree with our conclusions. For example, we have received requests for clarifications from the Bank of Lithuania, which has issued RHEU licenses under MiCA and MiFID, regarding our Classic Stock Tokens and the Private Company Stock Token Promotion in connection with the launch of that offering. Responding to such requests may divert management attention and require us to expend additional resources. If the Bank of Lithuania determines that our Classic Stock Token offering or the Private Company Stock Token Promotion is not being conducted in compliance with applicable laws or regulations, such determination could result in financial penalties or other non-monetary penalties, limitation of certain of our business activities (including with respect to our Classic Stock Token offering), loss or non-renewal of existing licenses or authorizations, increased scrutiny from other regulators, loss of our customers and reputational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137" name="Frame1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any change in applicable laws or regulations, or change in interpretations of existing laws or regulations, could have a materially adverse impact on our ability to operate our Stock Tokens and Classic Stock Token offerings as currently intended. In addition, because the assets underlying our Stock Tokens, Classic Stock Tokens, and the Private Company Stock Token Promotion are certain U.S. securities, the SEC or other U.S. regulators, including the CFTC, could assert jurisdiction over our Stock Token offering or Classic Stock Token offering or the Private Company Stock Token Promotion and claim that transactions in related tokens must be conducted in compliance with applicable U.S. laws and regulations. Such a determination could result in lawsuits, regulatory action and enforcement proceedings that result in injunctions, fines, penalties and other monetary damages, and could require us to obtain additional registrations or licenses in the future and cause us to incur significant expenses in order to ensure compliance with applicable laws and regulations.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may also face contractual or legal challenges from the issuers of the referenced securities. Some companies, particularly private companies with transfer restrictions, may object to the creation of synthetic instruments such as tokens which reference the companies’ securities and are facilitated by Robinhood or one of its affiliates holding an interest in a SPV that holds the referenced securities or instruments representing a contingent interest in the referenced securities. In such cases, the issuer may assert that our interest in the SPV is invalid, void or otherwise unenforceable, or that we have violated or induced or assisted in the violation of, applicable transfer restrictions, which could result in a loss or impairment of the SPV’s rights to the underlying securities, which could in turn prevent us from effectively hedging our exposure to the associated tokens held by our customers. For example, OpenAI has publicly stated that OpenAI tokens issued in connection with the Private Company Stock Token Promotion are not OpenAI equity, that they did not partner with us and did not endorse the OpenAI tokens, and that any transfer of OpenAI equity requires OpenAI’s approval and OpenAI did not approve such transfer. Accordingly, Robinhood or our affiliates may be exposed to risks relating to litigation, reputational harm, or the need to suspend or revise affected offerings.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Stock Token offering, Classic Stock Token offering, and the Private Company Stock Token Promotion also involved, and could involve, operational risks, in addition to existing cryptocurrency risks. They have relied on, and could rely on, accurate and timely price data, functioning systems for custody and valuation, and clear communication to customers about how the tokens work. If these systems fail, or if customers misunderstand that the tokens do not represent actual securities, we could face regulatory action, legal exposure, or reputational harm.</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are unable to adequately manage these risks, or if regulators, issuers, or other counterparties take adverse action, our Stock Token, Classic Stock Token, or similar initiatives in the future could be curtailed or terminated, which could adversely affect our crypto and international business operations, expose us to significant liability and harm our brand.</w:t>
      </w:r>
    </w:p>
    <w:p>
      <w:pPr>
        <w:pStyle w:val="TextBody"/>
        <w:bidi w:val="0"/>
        <w:spacing w:before="0" w:after="200"/>
        <w:ind w:left="0" w:right="0" w:firstLine="360"/>
        <w:jc w:val="both"/>
        <w:rPr/>
      </w:pPr>
      <w:r>
        <w:rPr/>
      </w:r>
    </w:p>
    <w:p>
      <w:pPr>
        <w:pStyle w:val="TextBody"/>
        <w:bidi w:val="0"/>
        <w:spacing w:lineRule="auto" w:line="288" w:before="0" w:after="0"/>
        <w:jc w:val="both"/>
        <w:rPr>
          <w:rFonts w:ascii="Helvetica;sans-serif" w:hAnsi="Helvetica;sans-serif"/>
          <w:b w:val="false"/>
          <w:color w:val="000000"/>
          <w:sz w:val="28"/>
        </w:rPr>
      </w:pPr>
      <w:r>
        <w:rPr>
          <w:rFonts w:ascii="Helvetica;sans-serif" w:hAnsi="Helvetica;sans-serif"/>
          <w:b w:val="false"/>
          <w:color w:val="000000"/>
          <w:sz w:val="28"/>
        </w:rPr>
        <w:t>Risks Related to Our Spending and Payments Products and Services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spending, payments and banking products and services subject us to risks related to bank partnerships, FDIC pass-through insurance and other regulatory obligations.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offered a Spending Account (in connection with a partnership with J.P. Morgan Chase Bank, N.A.), and partnered, on a non-exclusive basis, with Sutton Bank (“Sutton”), an Ohio-chartered bank, pursuant to a license from Mastercard International Incorporated, to offer the Robinhood Cash Card. Under the terms of our program agreement with Sutton, Robinhood Cash Card accounts for our users were opened and maintained by Sutton. We act as the service provider to, among other things, facilitate communication between our users and Sutton for which we receive compensation from Sutton. We began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138" name="Frame1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winding down the Spending Account product in 2025 by closing inactive, unfunded accounts. The product is expected to be fully wound down by the third quarter of 2026. In the fourth quarter of 2025, we began (on an invite-only basis) offering external customers the Robinhood Banking product, which offers depository accounts and related banking services through our partner bank, Coastal Bank. Similar to the structure of the Spending Account program, we act as the service provider for Robinhood Banking to, among other things, facilitate communication between our users and Coastal Bank for which we receive compensation. Additionally, Robinhood branded credit cards are issued by Coastal Bank, a Washington-chartered bank, pursuant to a partnership with Visa U.S.A. Inc. Our partner banks are members of the FDIC.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our record keeping for our users’ funds held in Robinhood Cash Card accounts at Sutton, held in a Spending Account at our other partner bank, and held in Robinhood Banking branded deposit accounts at Coastal Bank complies with all applicable requirements for each participating user’s deposits to be eligible for FDIC pass-through insurance coverage, up to the applicable maximum deposit insurance amount. However, if the FDIC were to disagree, the FDIC might not recognize users’ claims as covered by deposit insurance in the event of bank failure and bank receivership proceedings under the Federal Deposit Insurance Act. If the FDIC were to determine that our users’ funds held at our partner banks are not covered by deposit insurance, participating users might decide to withdraw their funds, which could adversely affect our brand and our business. Due to the fact that we are deemed a service-provider to our partner banks, we are subject to audit standards for third-party vendors in accordance with bank regulatory guidance and examinations by federal bank regulatory authorities and the CFPB.</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result of the stored value Spending Account program, the Robinhood Cash Card and the Robinhood Banking program, we are subject to federal and state consumer protection laws and regulations, including the Electronic Fund Transfer Act and Regulation E as implemented by the CFPB. As a result of Robinhood Credit, we are also subject to a number of state licensing and other regulatory requirements and to payment card association operating rules, including data security rules and certification requirements, which could change or be reinterpreted to make it difficult or impossible for us to comply. Robinhood Credit is in the process of acquiring licenses in all states where required to do so. Failure to obtain or maintain these licenses, failure to comply with these rules or requirements, or conducting such activity without a license, as well as any breach, compromise, or failure to otherwise detect or prevent fraudulent activity involving our data security systems, could result in our being liable for card issuing banks’ costs, and subject to regulatory fines, penalties, or criminal charges. For example, in December 2024, Robinhood Credit paid a penalty of $200,000 to the Massachusetts Division of Banks for previously engaging in the business of a third party loan servicer in Massachusetts without the appropriate registration. Violations of any of these requirements could result in the assessment of significant actual damages or statutory damages or penalties (including treble damages in some instances) and plaintiffs’ attorneys’ fees.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The offering of consumer credit cards through Robinhood Credit increases our exposure to customer defaults and credit risk and could result in losses.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market consumer credit cards, such as the Robinhood Gold Card and Robinhood Platinum Card, originated by our partner bank, Coastal Bank, pursuant to the Program Agreement, and indemnify Coastal Bank for certain losses under the Program Agreement. We partner with Coastal Bank to develop proprietary scoring models and other analytical techniques that are designed to set terms and credit limits to appropriately compensate for credit risk in connection with selecting customers, managing accounts and establishing terms and credit limits. The revenue generated from the Program Agreement and the extent of credit losses incurred, as well as our ability to offer competitive features such as the Robinhood Gold Card and Robinhood Platinum Card Rewards Programs, depends in part on managing credit risk while attracting new customers with profitable usage patterns. The models and approaches used to manage credit risk may not accurately predict future charge-offs and our ability to avoid high charge-off rates also may be adversely affected by general economic conditions including unemployment,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139" name="Frame1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availability of consumer credit and the competitive environment, as well as events that may be difficult to predict, such as a general downturn in economic conditions (like the one that occurred in 2022), public health threats (like the COVID-19 pandemic), or political developments and legislative proposals targeting interest rate caps and fee and revenue restrictions. Additionally, if any of these factors make it economically unfeasible for us to continue to offer the Robinhood Gold Card and Robinhood Platinum Card Rewards Programs and we cease to offer such rewards, it might make Robinhood Credit products less desirable to customers. Any material increases in credit losses and defaults or inability to retain existing or attract new Robinhood Credit customers could have adverse effects on our financial condition and results of operations. </w:t>
      </w:r>
    </w:p>
    <w:p>
      <w:pPr>
        <w:pStyle w:val="TextBody"/>
        <w:bidi w:val="0"/>
        <w:spacing w:before="0" w:after="0"/>
        <w:jc w:val="left"/>
        <w:rPr/>
      </w:pPr>
      <w:r>
        <w:rPr/>
      </w:r>
    </w:p>
    <w:p>
      <w:pPr>
        <w:pStyle w:val="TextBody"/>
        <w:bidi w:val="0"/>
        <w:spacing w:lineRule="auto" w:line="288" w:before="0" w:after="0"/>
        <w:jc w:val="both"/>
        <w:rPr/>
      </w:pPr>
      <w:r>
        <w:rPr>
          <w:rFonts w:ascii="Helvetica;sans-serif" w:hAnsi="Helvetica;sans-serif"/>
          <w:b/>
          <w:i/>
          <w:color w:val="000000"/>
          <w:sz w:val="20"/>
        </w:rPr>
        <w:t>Use of our spending, payments, banking and other services for illegal activities or improper purposes could harm our business</w:t>
      </w:r>
      <w:r>
        <w:rPr>
          <w:rFonts w:ascii="Helvetica;sans-serif" w:hAnsi="Helvetica;sans-serif"/>
          <w:b w:val="false"/>
          <w:i/>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highly automated nature of, and liquidity offered by, our spending, payments and other services to move money make us and our customers a target for illegal or improper uses, including scams and fraud directed at our stored value Spending Account, Robinhood Cash Card, Robinhood Banking accounts (including the cash delivery feature, which allows customers in supported jurisdictions to order cash directly to their residences), and Robinhood Credit customers, fraud in connection with the services we provide to the U.S. government,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customer might be found responsible for intentionally or inadvertently importing or exporting illegal goods, resulting in liability for us. Owners of intellectual property rights or government authorities might seek to bring legal action against providers of payments solutions, including Robinhood, that are peripherally involved in the sale of infringing or allegedly infringing items. While we invest in measures intended to prevent and detect illegal activities with respect to our spending, payments, and other services, these measures require continuous improvement and might not be effective in detecting and preventing illegal activity or improper uses.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illegal or improper uses of our spending, payments, and other services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spending, payments, and other services for illegal or improper activity, and our failure to detect or prevent such use. Illegitimate transactions can also prevent us from satisfying our contractual obligations to our third-party partners, which might cause us to be in breach of our obligations.</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8"/>
        </w:rPr>
      </w:pPr>
      <w:r>
        <w:rPr>
          <w:rFonts w:ascii="Helvetica;sans-serif" w:hAnsi="Helvetica;sans-serif"/>
          <w:b w:val="false"/>
          <w:color w:val="000000"/>
          <w:sz w:val="28"/>
        </w:rPr>
        <w:t>Risks Related to Our Intellectual Property</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Any failure to obtain, maintain, protect, defend or enforce our intellectual property rights could adversely affect our business.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140" name="Frame1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U.S. and some non-U.S. countries, and our intellectual property rights might not receive the same degree of protection in non-U.S. countries as they would in the U.S.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 Similarly, our patent applications might not result in issued patents, and any patents that are issued might be opposed, challenged, or subjected to administrative proceedings, such as inter partes review or post-grant review, and could be narrowed, invalidated, or held unenforceable, which could limit our ability to prevent others from using, copying, or competing with our technology. We also hold, or may seek to obtain, design patents covering the ornamental appearance of our user interfaces and other aspects of our products. Design patents provide narrower protection than utility patents because they cover only ornamental appearance and not underlying functionality, and competitors may be able to design around them by making minor visual changes to a similar user interface while still competing effectively against us.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agreements relating to confidentiality and invention assignments,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 obtained or independently developed by a competitor or other third party, we would have no right to prevent them from using that technology or information to compete with us, and our competitive position could be materially and adversely harmed.</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we might need to expend significant resources to apply for, maintain, enforce and monitor our intellectual property rights and such efforts might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141" name="Frame1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have been, currently are, and might in the future be, subject to claims that we violated third-party intellectual property rights, which, even where meritless, can be costly to defend and could materially adversely affect our business,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success depends, in part, on our ability to develop and commercialize our products and services without infringing, misappropriating or otherwise violating the intellectual property rights of third parties. However, we might not be aware that our products, services, or marketing materials are infringing, misappropriating or otherwise violating third-party intellectual property rights and such third parties might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 seek to monetize the intellectual property rights they own to extract value through licensing or other settlements.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use of third-party software and other intellectual property rights might be subject to claims of infringement or misappropriation. The vendors who provide us with technology that we incorporate in our product offerings also could become subject to various infringement claims. We may also face claims that the look and feel of our user interfaces or other product designs infringe design patents held by competitors or other third parties, and defending against such claims could require us to redesign our user interfaces, which could be costly, time-consuming, and disruptive to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From time to time, our competitors or other third parties have in the past claimed, currently claim, and might in the future claim,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Some of our products and services contain open source software, which could pose particular risks to our proprietary software, products, and services in a manner that could harm our business.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use open source software in our products and services (as well as in some of our internally developed systems) and we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might be subject to such terms. The terms of many open source licenses to which we are subject have not been interpreted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050"/>
                <wp:effectExtent l="0" t="0" r="0" b="0"/>
                <wp:wrapNone/>
                <wp:docPr id="142" name="Frame1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offer a different solution, which might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can be ambiguous, vague, or subject to various interpretations, especially given the absence of controlling case law in the U.S. or other courts. Additionally, we may open source some of our own proprietary source code and/or may make contributions to open source software. There is a risk that our proprietary software or contributions may be used in such a manner that we may need to enforce our rights to ownership of such open source software, including seeking proper usage, compliance with our license terms, or through litigation. Any actual or claimed requirement to disclose our proprietary source code or pay damages for breach of license terms, or failure to enforce our ownership rights over the use of our proprietary source code could harm our business and could help third parties, including our competitors, develop products and services that are similar to or better than ours.</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8"/>
        </w:rPr>
      </w:pPr>
      <w:r>
        <w:rPr>
          <w:rFonts w:ascii="Helvetica;sans-serif" w:hAnsi="Helvetica;sans-serif"/>
          <w:b w:val="false"/>
          <w:color w:val="000000"/>
          <w:sz w:val="28"/>
        </w:rPr>
        <w:t>Risks Related to Finance, Accounting and Tax Matters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Covenants in our credit agreements could restrict our operations and if we do not effectively manage our business to comply with these covenants, our financial condition could be adversely impacted.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entered into certain credit agreements and other borrowing arrangements, including $2.2 billion aggregate principal amount of 0.00% convertible senior notes due 2029 that we issued in June 2026, and might enter into additional agreements for other borrowing in the future. These agreements contain various restrictive covenants, including, among other things, minimum liquidity and tangible net worth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 indenture governing the Convertible Notes does not contain financial maintenance covenants of this kind, but does restrict our ability to consolidate, merge with, or sell substantially all of our assets unless certain conditions are satisfied. These restrictions might restrict our current and future operations, including our ability to incur debt to increase our liquidity position.</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A default under our credit agreements that results in the acceleration of indebtedness in excess of $150 million would also constitute an event of default under the indenture governing the Convertible Notes, and a similar default under the indenture could constitute an event of default under our credit agreements, which could compound the consequences of any such default. If the debt under the credit agreements were to be accelerated, and if we did not have sufficient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050"/>
                <wp:effectExtent l="0" t="0" r="0" b="0"/>
                <wp:wrapNone/>
                <wp:docPr id="143" name="Frame1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141</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cash on hand or be able to sell sufficient collateral to repay it, it would have an immediate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insurance coverage might be inadequate or expensive.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use a combination of third-party insurance and self-insurance mechanisms, including a wholly owned captive insurance subsidiary. We are subject to claims in the ordinary course of business. These claims can involve substantial amounts of money and involve significant defense costs. It is not possible to prevent or detect all activities giving rise to claims and the precautions we take might not be effective in all cases. We maintain voluntary and required insurance coverage, including, among others, general liability, property, director and officer, excess-SIPC, cyber and data breach, crime, and fidelity bond insurance. Our insurance coverage is expensive and maintaining or expanding our insurance coverage might have an adverse effect on our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insurance coverage is subject to terms such as deductibles, coinsurance, limits and policy exclusions, as well as risk of counterparty denial of coverage, default or insolvency, and might be insufficient to protect us against all losses and costs stemming from processing, operational, and technological failures. Furthermore, for certain lines of coverage, continued insurance coverage might not be available to us in the future on economically reasonable terms, or at all. The successful assertion of one or more large claims against us that exceed available insurance coverage, or the occurrence of material changes in our insurance policies, including premium increases or the imposition of large deductible or co-insurance requirements,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Changes in U.S. and foreign tax laws and policies could adversely impact our tax liabilities.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and may in the future become, subject to complex and evolving U.S. and foreign tax laws and regulations, which might in the future make changes to corporate income tax rates, the treatment of foreign earnings, or other income tax laws that could have an adverse impact on our business, result of operations, financial condition and cash flows.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determination of our tax liability is subject to review by applicable tax authorities. The determination of our tax liabilities requires significant judgment, and, in the ordinary course of business, there are transactions and calculations where the ultimate tax determination is complex and uncertain. Although we believe our determinations are reasonable, the ultimate amount of our tax obligations owed might differ from the amounts recorded in our financial statements in the event of a review by applicable tax authorities and any such difference could have an adverse effect on our results of operations. Tax authorities might also disagree with certain positions we have taken or might take in the future, which could subject us to additional tax liabilities.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corporate structure and associated transfer pricing policies also contemplate future growth in international markets, and consider the functions, risks, and assets of various entities involved in intercompany transactions. The taxing authorities of the jurisdictions in which we operate may challenge our methodologies for valuing intercompany transactions pursuant to our intercompany arrangements or disagree with our determinations as to the income and expenses attributable to specific jurisdictions.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from time to time, proposals are introduced in the U.S. Congress and state legislatures, as well as by foreign governments, to impose new taxes on a broad range of financial transactions, including transactions that occur on our platforms, such as the buying and selling of stocks, derivative transactions, and cryptocurrencies. If enacted, such financial transaction taxes could increase the cost to customers of investing or trading on our platforms and reduce or adversely affect U.S. market conditions and liquidity, general levels of interest in investing, and the volume of trades and other transactions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050"/>
                <wp:effectExtent l="0" t="0" r="0" b="0"/>
                <wp:wrapNone/>
                <wp:docPr id="144" name="Frame1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are subject to non-income taxes, such as payroll, sales, use, value-added, net worth, excise, goods and services, and property taxes in the U.S. and various foreign jurisdictions. Specifically, we might be subject to “digital service taxes” or new allocations of tax as a result of increasing efforts by certain jurisdictions to tax cross border activities that might not have been subject to tax under existing international tax principles. Companies such as ours could be adversely impacted by such taxes.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Our ability to use our net operating losses to offset future taxable income could be subject to certain limitations.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we have U.S. federal, state and non-U.S. NOLs available to reduce future taxable income subject to certain limitations. Under Sections 382 and 383 of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In addition, there may be periods during which the use of NOLs is suspended or otherwise limited. For these reasons, we might not be able to utilize our NOLs, even if we maintain profitability. </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i/>
          <w:color w:val="000000"/>
          <w:sz w:val="20"/>
        </w:rPr>
      </w:pPr>
      <w:r>
        <w:rPr>
          <w:rFonts w:ascii="Helvetica;sans-serif" w:hAnsi="Helvetica;sans-serif"/>
          <w:b/>
          <w:i/>
          <w:color w:val="000000"/>
          <w:sz w:val="20"/>
        </w:rPr>
        <w:t xml:space="preserve">Our tax information reporting obligations are subject to change.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we believe we are compliant with the tax reporting and withholding requirements with respect to our customers’ transactions in the jurisdictions in which we operate, various U.S., state or foreign tax authorities might significantly change applicable tax reporting requirements or disagree with the exact application of new or existing requirements. If the taxing authorities determine that we are not in compliance with our tax reporting or withholding requirements with respect to customer asset transactions, we may be exposed to additional withholding obligations, which could increase our compliance costs and result in penalties.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track certain operational metrics, which are subject to inherent challenges in measurement, and real or perceived inaccuracies in such metrics could harm our reputation, adversely affect our stock price, and result in litigation.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track certain operational metrics using internal company data gathered on an analytics platform that we developed and operate, including metrics such as Funded Customers, Total Platform Assets, Net Deposits, and Robinhood Gold Subscribers, as well as cohorts of our customers, which have not been validated by any independent third party and which might differ from estimates or similar metrics published by other parties due to differences in sources, methodologies, or the assumptions on which we rely. Our internal systems and tools are subject to a number of limitations and our methodologies for tracking these metrics have changed in the past and might change further over time, which could result in unexpected changes to our metrics or otherwise cause the comparability of such metrics from period to period to suffer, including the metrics we publicly disclose. In addition, if the internal systems and tools we use to track these metrics undercount or overcount performance or contain algorithmic or other technical errors, the data we report might not be accurate. While these numbers are based on what we believe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050"/>
                <wp:effectExtent l="0" t="0" r="0" b="0"/>
                <wp:wrapNone/>
                <wp:docPr id="145" name="Frame1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143</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be reasonable estimates of our metrics for the applicable period of measurement, there are inherent challenges in measuring how our platforms are used across large populations globally. Further, with our acquisition of TradePMR in February 2025, we are clearing through a third party for TradePMR related accounts and using data collected by that third party to compute certain metrics. So, for TradePMR-related accounts only, if the third-party systems and tools we use to track this data undercount or overcount performance or contain algorithmic or other technical errors, the relevant metrics we report that rely on such data might not be accurate.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If we fail to maintain effective internal control over financial reporting, as well as required disclosure controls and procedures, our ability to produce timely and accurate consolidated financial statements or comply with applicable regulations could be impaired.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Sarbanes-Oxley Act of 2002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current controls and any new controls that we develop could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 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Ineffective disclosure controls and procedures or internal control over financial reporting could harm our business, cause investors to lose confidence in the accuracy and completeness of our reported financial and other information, and result in us becoming subject to investigations by the stock exchange on which our securities are listed, the SEC or other regulatory authorities, any of which would likely have a negative effect on the trading price of our Class A common stock and have a material and adverse effect on our business,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050"/>
                <wp:effectExtent l="0" t="0" r="0" b="0"/>
                <wp:wrapNone/>
                <wp:docPr id="146" name="Frame1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144</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financial condition and prospects. In addition, if we are unable to continue to meet these requirements, we might not be able to remain listed on the Nasdaq.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val="false"/>
          <w:color w:val="000000"/>
          <w:sz w:val="28"/>
        </w:rPr>
      </w:pPr>
      <w:r>
        <w:rPr>
          <w:rFonts w:ascii="Helvetica;sans-serif" w:hAnsi="Helvetica;sans-serif"/>
          <w:b w:val="false"/>
          <w:color w:val="000000"/>
          <w:sz w:val="28"/>
        </w:rPr>
        <w:t>Risks Related to Our Class A Common Stock</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The trading price for our Class A common stock has been and could continue to be volatile, and you could lose all or part of your investment.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trading price of our Class A common stock has been and could continue to be highly volatile and could continue to be subject to fluctuations in response to one or more of the risk factors described in this report, many of which are beyond our control. These fluctuations could cause you to lose all or part of your investment in our Class A common stock since you might be unable to sell your shares at or above the price you paid. Additional factors that could have a significant effect on the trading price of our Class A common stock include: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announcements by us or our competitors of new offerings or platform features;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public’s perception of the quality and accuracy of our key metrics on our customer base and engagement;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public’s reaction to our media statements, other public announcements and filings with the SEC;</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 xml:space="preserve">rumors and market speculation involving us or other companies in our industry;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extent to which retail and other individual investors (as distinguished from institutional investors), including our customers, invest in our Class A common stock, which might result in increased volatility;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media coverage related to certain individuals and entities identified as having owned our stock, and any speculation related to plans to dispose of their holdings.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in the past, following periods of volatility in the overall market and the trading price of a particular company’s securities, securities class action litigation has often been instituted against these companies. Class action litigation has in the past and could in the future result in substantial costs and a diversion of our management’s attention and resources.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if the market price of our Class A common stock is above the level that investors determine is reasonable for our Class A common stock, some investors might attempt to short our Class A common stock, which would create additional downward pressure on the trading price of our Class A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050"/>
                <wp:effectExtent l="0" t="0" r="0" b="0"/>
                <wp:wrapNone/>
                <wp:docPr id="147" name="Frame1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145</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our founders and their related entities hold approximately 12% of our outstanding common stock (and, as described below, over 50% of the voting power of our outstanding capital stock). If our founders or other significant stockholders sell, or indicate an intent to sell, large amounts of stock in the public market, such sales, or the perception that these sales might occur, could cause the trading price of our Class A common stock to decline substantially.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Similarly, significant numbers of shares are subject to future issuance including under outstanding warrants held by pre-IPO investors, and under outstanding stock options and RSUs held by employees and other service providers, and significant numbers of additional shares are available for award grant purposes under our 2021 Plan (as defined in Note 12 - Common Stock and Stockholders’ Equity to our unaudited condensed consolidated financial statements in this Quarterly Report) and for issuance under our ESPP. All of these shares will become eligible for sale in the public market upon exercise, vesting, or settlement, as applicable (and to the extent granted in the discretion of our board of directors, in the case of shares available for grant) or may be sold to satisfy applicable tax withholding requirements. These and any future issuances of shares of our capital stock, or of securities convertible into or exercisable for our capital stock could depress the market price of our Class A common stock and result in a significant dilution for stockholders. For example, in June 2026, we issued the Convertible Notes, which we may settle upon conversion by cash up to the principal amount of the Convertible Notes and paying or delivering shares of our Class A common stock, cash, or a combination thereof, at our election, for any value in excess thereof, which could result in dilution to our stockholders or require us to use a substantial amount of cash. While we entered into Capped Calls transactions in connection with the offering of the Convertible Notes in order to reduce the dilutive effect of any such conversion, or offset cash payments we are required to make in excess of the principal amount of converted Notes, up to a specified cap price, if the price of our Class A common stock exceeds such cap price, we could still experience dilution or be required to make significant cash payments upon conversion of the Convertible Notes. We also used $290 million of the proceeds of the Convertible Notes to repurchase shares concurrently with the offering, which may have reduced the dilutive impact of the offering and associated market activity.</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authorized more capital stock in recent years to provide additional stock options and RSUs to our employees and to permit for the consummation of equity and equity-linked financings and might continue to do so in the future. Our employee headcount has increased in the past few years, so the amount of dilution due to awards of equity-based compensation to our employees could be substantial. Further, any sales 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There are no guarantees that we will repurchase shares under the Repurchase Program or that the Repurchase Program will result in increased shareholder value.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Helvetica;sans-serif" w:hAnsi="Helvetica;sans-serif"/>
          <w:b w:val="false"/>
          <w:color w:val="000000"/>
          <w:sz w:val="20"/>
        </w:rPr>
        <w:t xml:space="preserve">On March 24, 2026, Robinhood announced that its board of directors approved the Repurchase Program authorizing the Company to repurchase up to $1.5 billion of its outstanding Class A common stock to return value to shareholders. </w:t>
      </w:r>
      <w:r>
        <w:rPr>
          <w:rFonts w:ascii="Helvetica;sans-serif" w:hAnsi="Helvetica;sans-serif"/>
          <w:b w:val="false"/>
          <w:color w:val="000000"/>
          <w:sz w:val="20"/>
          <w:shd w:fill="FFFFFF" w:val="clear"/>
        </w:rPr>
        <w:t xml:space="preserve">The Repurchase Program replaced the Company’s Prior Repurchase Program and is inclusive of amounts that remained available for repurchase under the Prior Repurchase Program which were rolled over into the Repurchase Program, and represented more than $1.1 billion of incremental capacity. </w:t>
      </w:r>
      <w:r>
        <w:rPr>
          <w:rFonts w:ascii="Helvetica;sans-serif" w:hAnsi="Helvetica;sans-serif"/>
          <w:b w:val="false"/>
          <w:color w:val="000000"/>
          <w:sz w:val="20"/>
        </w:rPr>
        <w:t xml:space="preserve">As of June 30, 2026, Robinhood has made share repurchases of $127 million under the Repurchase Program. </w:t>
      </w:r>
      <w:r>
        <w:rPr>
          <w:rFonts w:ascii="Helvetica;sans-serif" w:hAnsi="Helvetica;sans-serif"/>
          <w:b w:val="false"/>
          <w:color w:val="000000"/>
          <w:sz w:val="20"/>
          <w:shd w:fill="FFFFFF" w:val="clear"/>
        </w:rPr>
        <w:t xml:space="preserve">While the Repurchase Program does not have an expiration date, the Company’s management currently expects to conduct the Repurchase Program over a period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050"/>
                <wp:effectExtent l="0" t="0" r="0" b="0"/>
                <wp:wrapNone/>
                <wp:docPr id="148" name="Frame1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146</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pPr>
      <w:r>
        <w:rPr>
          <w:rFonts w:ascii="Helvetica;sans-serif" w:hAnsi="Helvetica;sans-serif"/>
          <w:b w:val="false"/>
          <w:color w:val="000000"/>
          <w:sz w:val="20"/>
          <w:shd w:fill="FFFFFF" w:val="clear"/>
        </w:rPr>
        <w:t xml:space="preserve">approximately three years, beginning in the first quarter of 2026. </w:t>
      </w:r>
      <w:r>
        <w:rPr>
          <w:rFonts w:ascii="Helvetica;sans-serif" w:hAnsi="Helvetica;sans-serif"/>
          <w:b w:val="false"/>
          <w:color w:val="000000"/>
          <w:sz w:val="20"/>
        </w:rPr>
        <w:t>The timing and amount of repurchase transactions will be determined by the Company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the Company to acquire any particular amount of Class A common stock, and the Repurchase Program may be suspended or discontinued at any time at the Company’s discretion. As a result, there is no guarantee with respect to the timing or amount of any future share repurchases, or that we will repurchase the full amount authorized under the Repurchase Program. Other factors, including changes in tax or securities laws, such as the U.S. Inflation Reduction Act of 2022 which imposes a corporate excise tax of 1% on net stock repurchases, could also impact our stock repurchases.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are a number of ways in which the Repurchase Program could fail to result in enhanced shareholder value. For example, any failure to repurchase stock after we have announced our intention to do so may negatively impact the trading price of our Class A common stock. The existence of the Repurchase Program could also cause our stock price to trade higher than it otherwise would and could potentially reduce the market liquidity for our stock. The trading price of our Class A common stock could decline below the levels at which we repurchased shares and short-term stock price fluctuations could reduce the effectiveness of the Repurchase Program. Any announcement of a pause in, or termination of, the Repurchase Program may also result in a decrease in the trading price of our Class A common stock. Furthermore, there is no guarantee that our stock repurchases will be able to successfully mitigate the dilutive effect of the equity awards we grant to our employees.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repurchasing our Class A common stock will reduce the amount of cash, cash equivalents and marketable securities we have available to fund working capital, capital expenditures, capital preserving investments, strategic acquisitions or business opportunities, and other general corporate purposes, and there are no guarantees that the Repurchase Program will result in increased shareholder value. Furthermore, the timing and amount of repurchases, if any, will be subject to liquidity, market and economic conditions, compliance with applicable legal requirements and other relevant factors. If we are unable to, or choose not to, repurchase shares under the Repurchase Program, this may have a negative impact on the perception of the Company as an investment opportunity by shareholders or investment analysts, which may in turn negatively impact the trading price of our Class A common stock.</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Class A common stock has one vote per share, our Class B common stock has 10 votes per share, and our Class C common stock has no voting rights, except as otherwise required by law. Our founders and Founder Affiliates together hold all of the issued and outstanding shares of our Class B common stock. Accordingly, Mr. Tenev, who is also our CEO, President and Chair of our board of directors, and Mr. Bhatt, who is a director, collectively with their related entities hold over 50% of the voting power of our outstanding capital stock. As a result, our founders have the ability to determine or significantly influence any action requiring the approval of our stockholders, including the election of our board of directors, the adoption of amendments to our Charter and our Bylaws and the approval of any merger, consolidation, sale of all or substantially all of our assets or other major corporate transaction.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our founders and Founder Affiliates have entered into the Founders’ Voting Agreement in which they have agreed, among other things, (i) to vote all of the shares of our common stock held by such founder or Founder Affiliate for the election of each founder to, and against the removal of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050"/>
                <wp:effectExtent l="0" t="0" r="0" b="0"/>
                <wp:wrapNone/>
                <wp:docPr id="149" name="Frame1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147</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founder from, our board of directors, (ii) to vote together in the election of other directors generally, subject to deferring to the decision of the nominating and corporate governance committee in the event of any disagreement between the founders, (iii) 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 Charter. The Founders’ Voting Agreement has the effect of concentrating voting power in our founders (or either one of them).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founders might have interests that differ from yours and might vote in a way with which you disagree and which may be adverse to your interests. Therefore, the founders’ concentrated voting control might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might result in our founders undertaking, or causing us to undertake, actions that would be desirable for our founders but would not be desirable for our other stockholders.</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no current plans to issue shares of our Class C common stock. Because the shares of our Class C common stock have no voting rights, except as required by law, if we issue Class C common stock in the future, the voting control of our founders could be maintained for a longer period of time than would be the case if we issued Class A common stock rather than Class C common stock. </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Certain provisions in our Charter and our Bylaws and of Delaware law as well as certain FINRA rules might prevent or delay an acquisition of Robinhood, which could decrease the trading price of our Class A common stock.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Charter and our Bylaws contain, and Delaware law contains, provisions that might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of directors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might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might elect to sell their shares in Robinhood, and the trading price of our Class A common stock could decrease. These and other provisions of our Charter, our Bylaws and the Delaware General Corporation Law could have the effect of delaying or deterring a change in control, which might limit the opportunity for our stockholders to receive a premium for their shares of our Class A common stock and might also affect the price that some investors are willing to pay for our Class A common stock.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a third party attempting to acquire us or a substantial position in our Class A common stock might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050"/>
                <wp:effectExtent l="0" t="0" r="0" b="0"/>
                <wp:wrapNone/>
                <wp:docPr id="150" name="Frame1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148</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would include a change in control of a parent company and similar approval from the FCA, which regulates our U.K. authorized broker-dealer subsidiary, must be obtained in connection with any transaction resulting in a person or entity holding, directly or indirectly, 10% or more of the equity or voting 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The exclusive forum provisions of our Charter could limit our stockholders’ ability to choose the judicial forum for some types of lawsuits against us or our directors, officers, or employees. </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pStyle w:val="TextBody"/>
        <w:bidi w:val="0"/>
        <w:spacing w:before="0" w:after="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 choosing for disputes with us or our directors, officers, or other employees, which might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151" name="Frame1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149</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2. UNREGISTERED SALES OF EQUITY SECURITIES AND USE OF PROCEEDS</w:t>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Sales of Unregistered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Except as disclosed in our Current Report on Form 8-K filed with the SEC on June 25, 2026, with respect to the Convertible Notes, from April 1, 2026 through June 30, 2026, the Company did not sell any shares of Class A common stock (or other equity securities of RHM) that were not registered under the Securities Act.</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Issuer Purchases of Equity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repurchases of shares of our Class A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422"/>
        <w:gridCol w:w="350"/>
        <w:gridCol w:w="352"/>
        <w:gridCol w:w="757"/>
        <w:gridCol w:w="448"/>
        <w:gridCol w:w="450"/>
        <w:gridCol w:w="109"/>
        <w:gridCol w:w="109"/>
        <w:gridCol w:w="109"/>
        <w:gridCol w:w="271"/>
        <w:gridCol w:w="966"/>
        <w:gridCol w:w="140"/>
        <w:gridCol w:w="109"/>
        <w:gridCol w:w="109"/>
        <w:gridCol w:w="109"/>
        <w:gridCol w:w="1021"/>
        <w:gridCol w:w="759"/>
        <w:gridCol w:w="761"/>
        <w:gridCol w:w="109"/>
        <w:gridCol w:w="109"/>
        <w:gridCol w:w="109"/>
        <w:gridCol w:w="525"/>
        <w:gridCol w:w="1611"/>
        <w:gridCol w:w="391"/>
      </w:tblGrid>
      <w:tr>
        <w:trPr/>
        <w:tc>
          <w:tcPr>
            <w:tcW w:w="42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 xml:space="preserve">Period </w:t>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 xml:space="preserve">Average Price Paid per Share </w:t>
            </w:r>
            <w:r>
              <w:rPr>
                <w:rFonts w:ascii="Helvetica;sans-serif" w:hAnsi="Helvetic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 xml:space="preserve">Total Number of Shares Purchased as Part of Publicly Announced Plans or Programs </w:t>
            </w:r>
            <w:r>
              <w:rPr>
                <w:rFonts w:ascii="Helvetica;sans-serif" w:hAnsi="Helvetica;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Approximate Dollar Value of Shares that May Yet Be Purchased Under the Plans or Programs</w:t>
            </w:r>
            <w:r>
              <w:rPr>
                <w:color w:val="000000"/>
              </w:rPr>
              <w:t xml:space="preserve"> </w:t>
            </w:r>
            <w:r>
              <w:rPr>
                <w:rFonts w:ascii="Helvetica;sans-serif" w:hAnsi="Helvetica;sans-serif"/>
                <w:b/>
                <w:color w:val="000000"/>
                <w:sz w:val="10"/>
              </w:rPr>
              <w:t>(2)</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i/>
                <w:color w:val="000000"/>
                <w:sz w:val="16"/>
              </w:rPr>
            </w:pPr>
            <w:r>
              <w:rPr>
                <w:rFonts w:ascii="Helvetica;sans-serif" w:hAnsi="Helvetica;sans-serif"/>
                <w:b w:val="false"/>
                <w:i/>
                <w:color w:val="000000"/>
                <w:sz w:val="16"/>
              </w:rPr>
              <w:t>(in millions)</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April 1, 2026 - April 30, 2026</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877,383 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877,383 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May 1, 2026 - May 31, 2026</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719,081 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719,081 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June 1, 2026 - June 30, 2026 </w:t>
            </w:r>
            <w:r>
              <w:rPr>
                <w:rFonts w:ascii="Helvetica;sans-serif" w:hAnsi="Helvetica;sans-serif"/>
                <w:b w:val="false"/>
                <w:color w:val="000000"/>
                <w:sz w:val="13"/>
              </w:rPr>
              <w:t>(3)</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2,833,910 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105.90 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90,910 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4,430,374 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1,687,374 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(1)</w:t>
      </w:r>
      <w:r>
        <w:rPr>
          <w:color w:val="000000"/>
          <w:shd w:fill="FFFFFF" w:val="clear"/>
        </w:rPr>
        <w:t xml:space="preserve"> </w:t>
      </w:r>
      <w:r>
        <w:rPr>
          <w:rFonts w:ascii="Helvetica;sans-serif" w:hAnsi="Helvetica;sans-serif"/>
          <w:b w:val="false"/>
          <w:color w:val="000000"/>
          <w:sz w:val="16"/>
          <w:shd w:fill="FFFFFF" w:val="clear"/>
        </w:rPr>
        <w:t xml:space="preserve">The average cost per share excludes the 1% excise tax on net share repurchase and commissions. </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 xml:space="preserve">(2) </w:t>
      </w:r>
      <w:r>
        <w:rPr>
          <w:rFonts w:ascii="Helvetica;sans-serif" w:hAnsi="Helvetica;sans-serif"/>
          <w:b w:val="false"/>
          <w:color w:val="000000"/>
          <w:sz w:val="16"/>
          <w:shd w:fill="FFFFFF" w:val="clear"/>
        </w:rPr>
        <w:t>On March 24, 2026, we announced that the board of directors approved the Repurchase Program authorizing the Company to repurchase up to $1.5 billion of its outstanding Class A common stock. The Repurchase Program replaces the Company’s Prior Repurchase Program and is inclusive of amounts that remained available for repurchase under the Prior Repurchase Program which were rolled over into the Repurchase Program, and represents more than $1.1 billion of incremental capacity. While the Repurchase Program does not have an expiration date, management currently expects to conduct the Repurchase Program over a period of approximately three years, beginning in the first quarter of 2026. The timing and amount of repurchase transactions will be determined by us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Refer to Note 12 - Common Stock and Stockholders’ Equity of our unaudited condensed consolidated financial statements in this Quarterly Report for more information about the Repurchase Program.</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 xml:space="preserve">(3) </w:t>
      </w:r>
      <w:r>
        <w:rPr>
          <w:rFonts w:ascii="Helvetica;sans-serif" w:hAnsi="Helvetica;sans-serif"/>
          <w:b w:val="false"/>
          <w:color w:val="000000"/>
          <w:sz w:val="16"/>
          <w:shd w:fill="FFFFFF" w:val="clear"/>
        </w:rPr>
        <w:t xml:space="preserve">Includes 2,743,000 shares of Class A common stock repurchased on June 25, 2026 at </w:t>
      </w:r>
      <w:r>
        <w:rPr>
          <w:rFonts w:ascii="Helvetica;sans-serif" w:hAnsi="Helvetica;sans-serif"/>
          <w:b w:val="false"/>
          <w:color w:val="000000"/>
          <w:sz w:val="16"/>
        </w:rPr>
        <w:t>$105.71</w:t>
      </w:r>
      <w:r>
        <w:rPr>
          <w:color w:val="000000"/>
          <w:shd w:fill="FFFFFF" w:val="clear"/>
        </w:rPr>
        <w:t xml:space="preserve"> </w:t>
      </w:r>
      <w:r>
        <w:rPr>
          <w:rFonts w:ascii="Helvetica;sans-serif" w:hAnsi="Helvetica;sans-serif"/>
          <w:b w:val="false"/>
          <w:color w:val="000000"/>
          <w:sz w:val="16"/>
          <w:shd w:fill="FFFFFF" w:val="clear"/>
        </w:rPr>
        <w:t xml:space="preserve">per share in privately negotiated transactions effected with or through one of the initial purchasers or its affiliate in connection with the offering of our Convertible Notes. Refer to </w:t>
      </w:r>
      <w:r>
        <w:rPr>
          <w:rFonts w:ascii="Helvetica;sans-serif" w:hAnsi="Helvetica;sans-serif"/>
          <w:b w:val="false"/>
          <w:color w:val="000000"/>
          <w:sz w:val="16"/>
        </w:rPr>
        <w:t xml:space="preserve">Note 11 - Financing Activities and Off-Balance Sheet Risk </w:t>
      </w:r>
      <w:r>
        <w:rPr>
          <w:rFonts w:ascii="Helvetica;sans-serif" w:hAnsi="Helvetica;sans-serif"/>
          <w:b w:val="false"/>
          <w:color w:val="000000"/>
          <w:sz w:val="16"/>
          <w:shd w:fill="FFFFFF" w:val="clear"/>
        </w:rPr>
        <w:t>of our unaudited condensed consolidated financial statements in this Quarterly Report for more information.</w:t>
      </w:r>
      <w:r>
        <w:rPr>
          <w:color w:val="000000"/>
        </w:rPr>
        <w:t xml:space="preserve"> </w:t>
      </w:r>
      <w:r>
        <w:rPr>
          <w:rFonts w:ascii="Helvetica;sans-serif" w:hAnsi="Helvetica;sans-serif"/>
          <w:b w:val="false"/>
          <w:color w:val="000000"/>
          <w:sz w:val="16"/>
          <w:shd w:fill="FFFFFF" w:val="clear"/>
        </w:rPr>
        <w:t>These repurchases were not made pursuant to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152" name="Frame1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150</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3. DEFAULTS UPON SENIOR SECURITIES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4. MINE SAFETY DISCLOSURES</w:t>
      </w:r>
    </w:p>
    <w:p>
      <w:pPr>
        <w:pStyle w:val="TextBody"/>
        <w:bidi w:val="0"/>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5. OTHER INFORMATION</w:t>
      </w:r>
    </w:p>
    <w:p>
      <w:pPr>
        <w:pStyle w:val="TextBody"/>
        <w:bidi w:val="0"/>
        <w:spacing w:lineRule="auto" w:line="288" w:before="24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Certain of our officers may, from time to time, make elections to participate in our ESPP and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153" name="Frame1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Helvetica;sans-serif" w:hAnsi="Helvetica;sans-serif"/>
          <w:b w:val="false"/>
          <w:color w:val="000000"/>
          <w:sz w:val="28"/>
        </w:rPr>
      </w:pPr>
      <w:r>
        <w:rPr>
          <w:rFonts w:ascii="Helvetica;sans-serif" w:hAnsi="Helvetica;sans-serif"/>
          <w:b w:val="false"/>
          <w:color w:val="000000"/>
          <w:sz w:val="28"/>
        </w:rPr>
        <w:t>ITEM 6. EXHIBIT INDEX</w:t>
      </w:r>
    </w:p>
    <w:p>
      <w:pPr>
        <w:pStyle w:val="TextBody"/>
        <w:bidi w:val="0"/>
        <w:spacing w:lineRule="auto" w:line="288" w:before="0" w:after="2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documents listed below are filed (or furnished, as noted) as exhibits to this Quarterly Report on Form 10-Q:</w:t>
      </w:r>
    </w:p>
    <w:tbl>
      <w:tblPr>
        <w:tblW w:w="10205" w:type="dxa"/>
        <w:jc w:val="left"/>
        <w:tblInd w:w="0" w:type="dxa"/>
        <w:tblLayout w:type="fixed"/>
        <w:tblCellMar>
          <w:top w:w="28" w:type="dxa"/>
          <w:left w:w="28" w:type="dxa"/>
          <w:bottom w:w="28" w:type="dxa"/>
          <w:right w:w="28" w:type="dxa"/>
        </w:tblCellMar>
      </w:tblPr>
      <w:tblGrid>
        <w:gridCol w:w="313"/>
        <w:gridCol w:w="275"/>
        <w:gridCol w:w="276"/>
        <w:gridCol w:w="109"/>
        <w:gridCol w:w="109"/>
        <w:gridCol w:w="109"/>
        <w:gridCol w:w="1754"/>
        <w:gridCol w:w="1536"/>
        <w:gridCol w:w="1551"/>
        <w:gridCol w:w="109"/>
        <w:gridCol w:w="109"/>
        <w:gridCol w:w="109"/>
        <w:gridCol w:w="179"/>
        <w:gridCol w:w="179"/>
        <w:gridCol w:w="180"/>
        <w:gridCol w:w="116"/>
        <w:gridCol w:w="116"/>
        <w:gridCol w:w="116"/>
        <w:gridCol w:w="241"/>
        <w:gridCol w:w="217"/>
        <w:gridCol w:w="218"/>
        <w:gridCol w:w="116"/>
        <w:gridCol w:w="116"/>
        <w:gridCol w:w="116"/>
        <w:gridCol w:w="220"/>
        <w:gridCol w:w="220"/>
        <w:gridCol w:w="221"/>
        <w:gridCol w:w="109"/>
        <w:gridCol w:w="109"/>
        <w:gridCol w:w="109"/>
        <w:gridCol w:w="274"/>
        <w:gridCol w:w="274"/>
        <w:gridCol w:w="400"/>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Filed Herewith</w:t>
            </w:r>
          </w:p>
        </w:tc>
      </w:tr>
      <w:tr>
        <w:trPr/>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Helvetica;sans-serif" w:hAnsi="Helvetica;sans-serif"/>
                  <w:b w:val="false"/>
                  <w:color w:val="0000FF"/>
                  <w:sz w:val="20"/>
                  <w:u w:val="single"/>
                </w:rPr>
                <w:t>Amended and Restated Certificate of Incorporation of Robinhood Markets, Inc., dated August 2,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2021-08-02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Helvetica;sans-serif" w:hAnsi="Helvetica;sans-serif"/>
                  <w:b w:val="false"/>
                  <w:color w:val="0000FF"/>
                  <w:sz w:val="20"/>
                  <w:u w:val="single"/>
                </w:rPr>
                <w:t xml:space="preserve">Amended and Restated Bylaws of Robinhood Markets, Inc., dated December 14, 2022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2022-12-16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Helvetica;sans-serif" w:hAnsi="Helvetica;sans-serif"/>
                  <w:b w:val="false"/>
                  <w:color w:val="0000FF"/>
                  <w:sz w:val="20"/>
                  <w:u w:val="single"/>
                </w:rPr>
                <w:t>Form of Class A Common Stock Certificate of Robinhood Markets,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S-1/A</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2021-07-19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Helvetica;sans-serif" w:hAnsi="Helvetica;sans-serif"/>
                  <w:b w:val="false"/>
                  <w:color w:val="0000FF"/>
                  <w:sz w:val="20"/>
                  <w:u w:val="single"/>
                </w:rPr>
                <w:t>Form of ten-year Warrant to Purchase Stock of Robinhood Markets, Inc., issued to multiple investors on February 12,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2021-07-01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Helvetica;sans-serif" w:hAnsi="Helvetica;sans-serif"/>
                  <w:b w:val="false"/>
                  <w:color w:val="0000FF"/>
                  <w:sz w:val="20"/>
                  <w:u w:val="single"/>
                </w:rPr>
                <w:t>Indenture, dated June 25, 2026, between Robinhood Markets, Inc. and U.S. Bank Trust Company, National Association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2026-06-25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Helvetica;sans-serif" w:hAnsi="Helvetica;sans-serif"/>
                  <w:b w:val="false"/>
                  <w:color w:val="0000FF"/>
                  <w:sz w:val="20"/>
                  <w:u w:val="single"/>
                </w:rPr>
                <w:t>Form of 0.00% Convertible Senior Note due 2029 (included in Exhibit 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2026-06-25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Helvetica;sans-serif" w:hAnsi="Helvetica;sans-serif"/>
                  <w:b w:val="false"/>
                  <w:color w:val="0000FF"/>
                  <w:sz w:val="20"/>
                  <w:u w:val="single"/>
                </w:rPr>
                <w:t>Form of Capped Calls Confirmation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2026-06-25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section302certificat.htm">
              <w:r>
                <w:rPr>
                  <w:rStyle w:val="InternetLink"/>
                  <w:rFonts w:ascii="Helvetica;sans-serif" w:hAnsi="Helvetica;sans-serif"/>
                  <w:b w:val="false"/>
                  <w:color w:val="0000FF"/>
                  <w:sz w:val="20"/>
                  <w:u w:val="single"/>
                </w:rPr>
                <w:t>CEO Certification pursuant to Section 302 of the Sarbanes-Oxley Act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section302certificat.htm">
              <w:r>
                <w:rPr>
                  <w:rStyle w:val="InternetLink"/>
                  <w:rFonts w:ascii="Helvetica;sans-serif" w:hAnsi="Helvetica;sans-serif"/>
                  <w:b w:val="false"/>
                  <w:color w:val="0000FF"/>
                  <w:sz w:val="20"/>
                  <w:u w:val="single"/>
                </w:rPr>
                <w:t>CFO Certification pursuant to Section 302 of the Sarbanes-Oxley Act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section906certificat.htm">
              <w:r>
                <w:rPr>
                  <w:rStyle w:val="InternetLink"/>
                  <w:rFonts w:ascii="Helvetica;sans-serif" w:hAnsi="Helvetica;sans-serif"/>
                  <w:b w:val="false"/>
                  <w:color w:val="0000FF"/>
                  <w:sz w:val="20"/>
                  <w:u w:val="single"/>
                </w:rPr>
                <w:t>CEO Certification pursuant to Section 906 of the Sarbanes-Oxley Act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section906certificat.htm">
              <w:r>
                <w:rPr>
                  <w:rStyle w:val="InternetLink"/>
                  <w:rFonts w:ascii="Helvetica;sans-serif" w:hAnsi="Helvetica;sans-serif"/>
                  <w:b w:val="false"/>
                  <w:color w:val="0000FF"/>
                  <w:sz w:val="20"/>
                  <w:u w:val="single"/>
                </w:rPr>
                <w:t>CFO Certification pursuant to Section 906 of the Sarbanes-Oxley Act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(Inline eXtensible Business Reporting Language)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bl>
    <w:p>
      <w:pPr>
        <w:pStyle w:val="TextBody"/>
        <w:bidi w:val="0"/>
        <w:spacing w:lineRule="auto" w:line="288" w:before="0" w:after="200"/>
        <w:jc w:val="left"/>
        <w:rPr>
          <w:rFonts w:ascii="Helvetica;sans-serif" w:hAnsi="Helvetica;sans-serif"/>
          <w:b w:val="false"/>
          <w:color w:val="000000"/>
          <w:sz w:val="16"/>
        </w:rPr>
      </w:pPr>
      <w:r>
        <w:rPr>
          <w:rFonts w:ascii="Helvetica;sans-serif" w:hAnsi="Helvetica;sans-serif"/>
          <w:b w:val="false"/>
          <w:color w:val="000000"/>
          <w:sz w:val="16"/>
        </w:rPr>
        <w:t>__________________</w:t>
      </w:r>
    </w:p>
    <w:p>
      <w:pPr>
        <w:pStyle w:val="TextBody"/>
        <w:bidi w:val="0"/>
        <w:spacing w:lineRule="auto" w:line="288" w:before="0" w:after="60"/>
        <w:ind w:left="0" w:right="0" w:hanging="180"/>
        <w:jc w:val="both"/>
        <w:rPr>
          <w:rFonts w:ascii="Helvetica;sans-serif" w:hAnsi="Helvetica;sans-serif"/>
          <w:b w:val="false"/>
          <w:color w:val="000000"/>
          <w:sz w:val="16"/>
        </w:rPr>
      </w:pPr>
      <w:r>
        <w:rPr>
          <w:rFonts w:ascii="Helvetica;sans-serif" w:hAnsi="Helvetica;sans-serif"/>
          <w:b w:val="false"/>
          <w:color w:val="000000"/>
          <w:sz w:val="16"/>
        </w:rPr>
        <w:t>*    File number is 001-40691 except that the S-1 (and S-1/A) file number is 333-257602.</w:t>
      </w:r>
    </w:p>
    <w:p>
      <w:pPr>
        <w:pStyle w:val="TextBody"/>
        <w:bidi w:val="0"/>
        <w:spacing w:lineRule="auto" w:line="288" w:before="0" w:after="60"/>
        <w:ind w:left="0" w:right="0" w:hanging="180"/>
        <w:jc w:val="both"/>
        <w:rPr>
          <w:color w:val="000000"/>
        </w:rPr>
      </w:pPr>
      <w:r>
        <w:rPr>
          <w:color w:val="000000"/>
        </w:rPr>
        <w:t>‡    </w:t>
      </w:r>
      <w:r>
        <w:rPr>
          <w:rFonts w:ascii="Helvetica;sans-serif" w:hAnsi="Helvetica;sans-serif"/>
          <w:b w:val="false"/>
          <w:color w:val="000000"/>
          <w:sz w:val="16"/>
        </w:rPr>
        <w:t>The certifications attached as Exhibits 32.1 and 32.2 that accompany this Quarterly Report on Form 10-Q are deemed furnished and not filed with the Securities and Exchange Commission and are not to be incorporated by reference into any filing of Robinhood Markets,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154" name="Frame1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152</w:t>
                      </w:r>
                    </w:p>
                  </w:txbxContent>
                </v:textbox>
                <w10:wrap type="none"/>
              </v:rect>
            </w:pict>
          </mc:Fallback>
        </mc:AlternateContent>
      </w:r>
    </w:p>
    <w:p>
      <w:pPr>
        <w:pStyle w:val="TextBody"/>
        <w:bidi w:val="0"/>
        <w:spacing w:lineRule="auto" w:line="288" w:before="0" w:after="200"/>
        <w:jc w:val="both"/>
        <w:rPr/>
      </w:pPr>
      <w:hyperlink w:anchor="i94f66f6935354692926c7e49d2b4f047_7">
        <w:r>
          <w:rPr>
            <w:rStyle w:val="InternetLink"/>
            <w:rFonts w:ascii="Helvetica;sans-serif" w:hAnsi="Helvetica;sans-serif"/>
            <w:b w:val="false"/>
            <w:color w:val="0000FF"/>
            <w:sz w:val="20"/>
            <w:u w:val="single"/>
          </w:rPr>
          <w:t>Table of Contents</w:t>
        </w:r>
      </w:hyperlink>
      <w:r>
        <w:rPr>
          <w:color w:val="000000"/>
        </w:rPr>
        <w:t xml:space="preserve"> </w:t>
      </w:r>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SIGNATURES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signed this report to be signed on its behalf by the undersigned, thereunto duly authorized, in Menlo Park, California, on July 29, 2026.</w:t>
      </w:r>
    </w:p>
    <w:tbl>
      <w:tblPr>
        <w:tblW w:w="4531" w:type="dxa"/>
        <w:jc w:val="right"/>
        <w:tblInd w:w="0" w:type="dxa"/>
        <w:tblLayout w:type="fixed"/>
        <w:tblCellMar>
          <w:top w:w="28" w:type="dxa"/>
          <w:left w:w="28" w:type="dxa"/>
          <w:bottom w:w="28" w:type="dxa"/>
          <w:right w:w="28" w:type="dxa"/>
        </w:tblCellMar>
      </w:tblPr>
      <w:tblGrid>
        <w:gridCol w:w="397"/>
        <w:gridCol w:w="350"/>
        <w:gridCol w:w="350"/>
        <w:gridCol w:w="1004"/>
        <w:gridCol w:w="1004"/>
        <w:gridCol w:w="1426"/>
      </w:tblGrid>
      <w:tr>
        <w:trPr/>
        <w:tc>
          <w:tcPr>
            <w:tcW w:w="3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4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Robinhood Markets, Inc.</w:t>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/s/ Vladimir Tenev </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Vladimir Tenev</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Executive Officer and President</w:t>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 Shiv Verma</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Shiv Verma</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Financial Officer</w:t>
            </w:r>
          </w:p>
          <w:p>
            <w:pPr>
              <w:pStyle w:val="TableContents"/>
              <w:bidi w:val="0"/>
              <w:spacing w:lineRule="auto" w:line="240" w:before="0" w:after="0"/>
              <w:jc w:val="left"/>
              <w:rPr>
                <w:rFonts w:ascii="Helvetica;sans-serif" w:hAnsi="Helvetica;sans-serif"/>
                <w:b w:val="false"/>
                <w:i/>
                <w:color w:val="000000"/>
                <w:sz w:val="20"/>
              </w:rPr>
            </w:pPr>
            <w:r>
              <w:rPr>
                <w:rFonts w:ascii="Helvetica;sans-serif" w:hAnsi="Helvetica;sans-serif"/>
                <w:b w:val="false"/>
                <w:i/>
                <w:color w:val="000000"/>
                <w:sz w:val="20"/>
              </w:rPr>
              <w:t>(Principal Financial Officer)</w:t>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Dara Bazzano</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Dara Bazzano</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Accounting Officer</w:t>
            </w:r>
          </w:p>
          <w:p>
            <w:pPr>
              <w:pStyle w:val="TableContents"/>
              <w:bidi w:val="0"/>
              <w:spacing w:lineRule="auto" w:line="240" w:before="0" w:after="0"/>
              <w:jc w:val="left"/>
              <w:rPr>
                <w:rFonts w:ascii="Helvetica;sans-serif" w:hAnsi="Helvetica;sans-serif"/>
                <w:b w:val="false"/>
                <w:i/>
                <w:color w:val="000000"/>
                <w:sz w:val="20"/>
              </w:rPr>
            </w:pPr>
            <w:r>
              <w:rPr>
                <w:rFonts w:ascii="Helvetica;sans-serif" w:hAnsi="Helvetica;sans-serif"/>
                <w:b w:val="false"/>
                <w:i/>
                <w:color w:val="000000"/>
                <w:sz w:val="20"/>
              </w:rPr>
              <w:t>(Principal Accounting Officer)</w:t>
            </w:r>
          </w:p>
        </w:tc>
      </w:tr>
    </w:tbl>
    <w:p>
      <w:pPr>
        <w:pStyle w:val="TextBody"/>
        <w:bidi w:val="0"/>
        <w:spacing w:before="0" w:after="220"/>
        <w:jc w:val="center"/>
        <w:rPr/>
      </w:pPr>
      <w:r>
        <w:rPr/>
      </w:r>
    </w:p>
    <w:p>
      <w:pPr>
        <w:pStyle w:val="TextBody"/>
        <w:bidi w:val="0"/>
        <w:spacing w:before="0" w:after="2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31.1</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155" name="Frame1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153</w:t>
                      </w:r>
                    </w:p>
                  </w:txbxContent>
                </v:textbox>
                <w10:wrap type="none"/>
              </v:rect>
            </w:pict>
          </mc:Fallback>
        </mc:AlternateContent>
      </w:r>
    </w:p>
    <w:p>
      <w:pPr>
        <w:pStyle w:val="TextBody"/>
        <w:bidi w:val="0"/>
        <w:spacing w:lineRule="auto" w:line="319" w:before="180" w:after="283"/>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CERTIFICATION PURSUANT TO RULE 13a-14(a) AND 15d-14(a) OF THE SECURITIES EXCHANGE ACT OF 1934, AS ADOPTED</w:t>
      </w:r>
    </w:p>
    <w:p>
      <w:pPr>
        <w:pStyle w:val="TextBody"/>
        <w:bidi w:val="0"/>
        <w:spacing w:lineRule="auto" w:line="319"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PURSUANT TO SECTION 302 OF THE SARBANES-OXLEY ACT OF 2002</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 Vladimir Tenev, certify that: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1.     I have reviewed this Quarterly Report on Form 10-Q of Robinhood Markets, Inc.;</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Date: July 29, 2026</w:t>
      </w:r>
    </w:p>
    <w:p>
      <w:pPr>
        <w:pStyle w:val="TextBody"/>
        <w:bidi w:val="0"/>
        <w:spacing w:lineRule="auto" w:line="319" w:before="0" w:after="0"/>
        <w:jc w:val="both"/>
        <w:rPr/>
      </w:pPr>
      <w:r>
        <w:rPr>
          <w:rFonts w:ascii="Helvetica;sans-serif" w:hAnsi="Helvetica;sans-serif"/>
          <w:b w:val="false"/>
          <w:color w:val="1D1C1D"/>
          <w:sz w:val="20"/>
        </w:rPr>
        <w:t>/s/</w:t>
      </w:r>
      <w:r>
        <w:rPr>
          <w:rFonts w:ascii="Helvetica;sans-serif" w:hAnsi="Helvetica;sans-serif"/>
          <w:b w:val="false"/>
          <w:color w:val="000000"/>
          <w:sz w:val="20"/>
        </w:rPr>
        <w:t>Vladimir Tenev</w:t>
      </w:r>
    </w:p>
    <w:p>
      <w:pPr>
        <w:pStyle w:val="TextBody"/>
        <w:bidi w:val="0"/>
        <w:spacing w:lineRule="auto" w:line="319" w:before="0" w:after="0"/>
        <w:jc w:val="both"/>
        <w:rPr>
          <w:rFonts w:ascii="Helvetica;sans-serif" w:hAnsi="Helvetica;sans-serif"/>
          <w:b w:val="false"/>
          <w:color w:val="000000"/>
          <w:sz w:val="20"/>
        </w:rPr>
      </w:pPr>
      <w:r>
        <w:rPr>
          <w:rFonts w:ascii="Helvetica;sans-serif" w:hAnsi="Helvetica;sans-serif"/>
          <w:b w:val="false"/>
          <w:color w:val="000000"/>
          <w:sz w:val="20"/>
        </w:rPr>
        <w:t>Vladimir Tenev</w:t>
      </w:r>
    </w:p>
    <w:p>
      <w:pPr>
        <w:pStyle w:val="TextBody"/>
        <w:bidi w:val="0"/>
        <w:spacing w:lineRule="auto" w:line="319"/>
        <w:jc w:val="both"/>
        <w:rPr>
          <w:rFonts w:ascii="Helvetica;sans-serif" w:hAnsi="Helvetica;sans-serif"/>
          <w:b w:val="false"/>
          <w:color w:val="000000"/>
          <w:sz w:val="20"/>
        </w:rPr>
      </w:pPr>
      <w:r>
        <w:rPr>
          <w:rFonts w:ascii="Helvetica;sans-serif" w:hAnsi="Helvetica;sans-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31.2</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180" w:after="283"/>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CERTIFICATION PURSUANT TO RULE 13a-14(a) AND 15d-14(a) OF THE SECURITIES EXCHANGE ACT OF 1934, AS ADOPTED</w:t>
      </w:r>
    </w:p>
    <w:p>
      <w:pPr>
        <w:pStyle w:val="TextBody"/>
        <w:bidi w:val="0"/>
        <w:spacing w:lineRule="auto" w:line="319"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PURSUANT TO SECTION 302 OF THE SARBANES-OXLEY ACT OF 2002</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 Shiv Verma, certify that: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1.     I have reviewed this Quarterly Report on Form 10-Q of Robinhood Markets, Inc.;</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Date: July 29, 2026</w: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/s/Shiv Verma</w: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Shiv Verma</w:t>
      </w:r>
    </w:p>
    <w:p>
      <w:pPr>
        <w:pStyle w:val="TextBody"/>
        <w:bidi w:val="0"/>
        <w:spacing w:lineRule="auto" w:line="319"/>
        <w:jc w:val="both"/>
        <w:rPr>
          <w:rFonts w:ascii="Helvetica;sans-serif" w:hAnsi="Helvetica;sans-serif"/>
          <w:b w:val="false"/>
          <w:color w:val="1D1C1D"/>
          <w:sz w:val="20"/>
        </w:rPr>
      </w:pPr>
      <w:r>
        <w:rPr>
          <w:rFonts w:ascii="Helvetica;sans-serif" w:hAnsi="Helvetica;sans-serif"/>
          <w:b w:val="false"/>
          <w:color w:val="1D1C1D"/>
          <w:sz w:val="20"/>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32.1</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 xml:space="preserve">CERTIFICATION BY THE CHIEF EXECUTIVE OFFICER </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PURSUANT TO 18 U.S.C. SECTION 1350, AS</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pPr>
      <w:r>
        <w:rPr>
          <w:rFonts w:ascii="Helvetica;sans-serif" w:hAnsi="Helvetica;sans-serif"/>
          <w:b w:val="false"/>
          <w:color w:val="000000"/>
          <w:sz w:val="20"/>
        </w:rPr>
        <w:t xml:space="preserve">Pursuant to 18 U.S.C. Section 1350, I, Vladimir Tenev, hereby certify that, to the best of my knowledge, Robinhood Markets, Inc.’s Quarterly Report on Form 10-Q for the quarterly period ended </w:t>
      </w:r>
      <w:r>
        <w:rPr>
          <w:rFonts w:ascii="Helvetica;sans-serif" w:hAnsi="Helvetica;sans-serif"/>
          <w:b w:val="false"/>
          <w:color w:val="1D1C1D"/>
          <w:sz w:val="20"/>
          <w:shd w:fill="FFFFFF" w:val="clear"/>
        </w:rPr>
        <w:t>June 30, 2026</w:t>
      </w:r>
      <w:r>
        <w:rPr>
          <w:color w:val="000000"/>
        </w:rPr>
        <w:t xml:space="preserve"> </w:t>
      </w:r>
      <w:r>
        <w:rPr>
          <w:rFonts w:ascii="Helvetica;sans-serif" w:hAnsi="Helvetica;sans-serif"/>
          <w:b w:val="false"/>
          <w:color w:val="000000"/>
          <w:sz w:val="20"/>
        </w:rPr>
        <w:t>(the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pStyle w:val="TextBody"/>
        <w:bidi w:val="0"/>
        <w:spacing w:lineRule="auto" w:line="288" w:before="0" w:after="0"/>
        <w:jc w:val="left"/>
        <w:rPr>
          <w:rFonts w:ascii="Helvetica;sans-serif" w:hAnsi="Helvetica;sans-serif"/>
          <w:b w:val="false"/>
          <w:color w:val="1D1C1D"/>
          <w:sz w:val="20"/>
          <w:shd w:fill="FFFFFF" w:val="clear"/>
        </w:rPr>
      </w:pPr>
      <w:r>
        <w:rPr>
          <w:rFonts w:ascii="Helvetica;sans-serif" w:hAnsi="Helvetica;sans-serif"/>
          <w:b w:val="false"/>
          <w:color w:val="1D1C1D"/>
          <w:sz w:val="20"/>
          <w:shd w:fill="FFFFFF" w:val="clear"/>
        </w:rPr>
        <w:t>Date: July 29, 2026</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/s/Vladimir Tenev</w:t>
      </w:r>
    </w:p>
    <w:p>
      <w:pPr>
        <w:pStyle w:val="TextBody"/>
        <w:bidi w:val="0"/>
        <w:spacing w:lineRule="auto" w:line="288" w:before="0" w:after="0"/>
        <w:jc w:val="left"/>
        <w:rPr>
          <w:rFonts w:ascii="Helvetica;sans-serif" w:hAnsi="Helvetica;sans-serif"/>
          <w:b w:val="false"/>
          <w:color w:val="1D1C1D"/>
          <w:sz w:val="20"/>
          <w:shd w:fill="FFFFFF" w:val="clear"/>
        </w:rPr>
      </w:pPr>
      <w:r>
        <w:rPr>
          <w:rFonts w:ascii="Helvetica;sans-serif" w:hAnsi="Helvetica;sans-serif"/>
          <w:b w:val="false"/>
          <w:color w:val="1D1C1D"/>
          <w:sz w:val="20"/>
          <w:shd w:fill="FFFFFF" w:val="clear"/>
        </w:rPr>
        <w:t>Vladimir Tenev</w:t>
      </w:r>
    </w:p>
    <w:p>
      <w:pPr>
        <w:pStyle w:val="TextBody"/>
        <w:bidi w:val="0"/>
        <w:spacing w:lineRule="auto" w:line="288"/>
        <w:jc w:val="left"/>
        <w:rPr>
          <w:rFonts w:ascii="Helvetica;sans-serif" w:hAnsi="Helvetica;sans-serif"/>
          <w:b w:val="false"/>
          <w:color w:val="1D1C1D"/>
          <w:sz w:val="20"/>
        </w:rPr>
      </w:pPr>
      <w:r>
        <w:rPr>
          <w:rFonts w:ascii="Helvetica;sans-serif" w:hAnsi="Helvetica;sans-serif"/>
          <w:b w:val="false"/>
          <w:color w:val="1D1C1D"/>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32.2</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 xml:space="preserve">CERTIFICATION BY THE CHIEF FINANCIAL OFFICER </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PURSUANT TO 18 U.S.C. SECTION 1350, AS</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ADOPTED PURSUANT TO SECTION 906 OF THE SARBANES-OXLEY ACT OF 2002</w:t>
      </w:r>
    </w:p>
    <w:p>
      <w:pPr>
        <w:pStyle w:val="TextBody"/>
        <w:bidi w:val="0"/>
        <w:spacing w:lineRule="auto" w:line="319" w:before="0" w:after="0"/>
        <w:jc w:val="both"/>
        <w:rPr/>
      </w:pPr>
      <w:r>
        <w:rPr>
          <w:rFonts w:ascii="Helvetica;sans-serif" w:hAnsi="Helvetica;sans-serif"/>
          <w:b w:val="false"/>
          <w:color w:val="000000"/>
          <w:sz w:val="20"/>
        </w:rPr>
        <w:t xml:space="preserve">Pursuant to 18 U.S.C. Section 1350, I, Shiv Verma, hereby certify that, to the best of my knowledge, Robinhood Markets, Inc.’s Quarterly Report on Form 10-Q for the quarterly period ended </w:t>
      </w:r>
      <w:r>
        <w:rPr>
          <w:rFonts w:ascii="Helvetica;sans-serif" w:hAnsi="Helvetica;sans-serif"/>
          <w:b w:val="false"/>
          <w:color w:val="1D1C1D"/>
          <w:sz w:val="20"/>
          <w:shd w:fill="FFFFFF" w:val="clear"/>
        </w:rPr>
        <w:t>June 30, 2026</w:t>
      </w:r>
      <w:r>
        <w:rPr>
          <w:color w:val="000000"/>
        </w:rPr>
        <w:t xml:space="preserve"> </w:t>
      </w:r>
      <w:r>
        <w:rPr>
          <w:rFonts w:ascii="Helvetica;sans-serif" w:hAnsi="Helvetica;sans-serif"/>
          <w:b w:val="false"/>
          <w:color w:val="000000"/>
          <w:sz w:val="20"/>
        </w:rPr>
        <w:t>(the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pStyle w:val="TextBody"/>
        <w:bidi w:val="0"/>
        <w:spacing w:lineRule="auto" w:line="319" w:before="0" w:after="0"/>
        <w:jc w:val="left"/>
        <w:rPr>
          <w:rFonts w:ascii="Helvetica;sans-serif" w:hAnsi="Helvetica;sans-serif"/>
          <w:b w:val="false"/>
          <w:color w:val="1D1C1D"/>
          <w:sz w:val="20"/>
          <w:shd w:fill="FFFFFF" w:val="clear"/>
        </w:rPr>
      </w:pPr>
      <w:r>
        <w:rPr>
          <w:rFonts w:ascii="Helvetica;sans-serif" w:hAnsi="Helvetica;sans-serif"/>
          <w:b w:val="false"/>
          <w:color w:val="1D1C1D"/>
          <w:sz w:val="20"/>
          <w:shd w:fill="FFFFFF" w:val="clear"/>
        </w:rPr>
        <w:t>Date: July 29, 2026</w: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/s/Shiv Verma</w:t>
      </w:r>
    </w:p>
    <w:p>
      <w:pPr>
        <w:pStyle w:val="TextBody"/>
        <w:bidi w:val="0"/>
        <w:spacing w:lineRule="auto" w:line="319" w:before="0" w:after="0"/>
        <w:jc w:val="left"/>
        <w:rPr>
          <w:rFonts w:ascii="Helvetica;sans-serif" w:hAnsi="Helvetica;sans-serif"/>
          <w:b w:val="false"/>
          <w:color w:val="1D1C1D"/>
          <w:sz w:val="20"/>
        </w:rPr>
      </w:pPr>
      <w:r>
        <w:rPr>
          <w:rFonts w:ascii="Helvetica;sans-serif" w:hAnsi="Helvetica;sans-serif"/>
          <w:b w:val="false"/>
          <w:color w:val="1D1C1D"/>
          <w:sz w:val="20"/>
        </w:rPr>
        <w:t>Shiv Verma</w:t>
      </w:r>
    </w:p>
    <w:p>
      <w:pPr>
        <w:pStyle w:val="TextBody"/>
        <w:bidi w:val="0"/>
        <w:spacing w:lineRule="auto" w:line="319" w:before="0" w:after="0"/>
        <w:jc w:val="left"/>
        <w:rPr>
          <w:rFonts w:ascii="Helvetica;sans-serif" w:hAnsi="Helvetica;sans-serif"/>
          <w:b w:val="false"/>
          <w:color w:val="1D1C1D"/>
          <w:sz w:val="20"/>
        </w:rPr>
      </w:pPr>
      <w:r>
        <w:rPr>
          <w:rFonts w:ascii="Helvetica;sans-serif" w:hAnsi="Helvetica;sans-serif"/>
          <w:b w:val="false"/>
          <w:color w:val="1D1C1D"/>
          <w:sz w:val="20"/>
        </w:rPr>
        <w:t>Chief Financial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783879/000162828021015177/exhibit31-8xkx8221.htm" TargetMode="External"/><Relationship Id="rId4" Type="http://schemas.openxmlformats.org/officeDocument/2006/relationships/hyperlink" Target="https://www.sec.gov/Archives/edgar/data/1783879/000178387922000044/exhibit32.htm" TargetMode="External"/><Relationship Id="rId5" Type="http://schemas.openxmlformats.org/officeDocument/2006/relationships/hyperlink" Target="https://www.sec.gov/Archives/edgar/data/1783879/000162828021013986/exhibit41-sx1a1.htm" TargetMode="External"/><Relationship Id="rId6" Type="http://schemas.openxmlformats.org/officeDocument/2006/relationships/hyperlink" Target="https://www.sec.gov/Archives/edgar/data/1783879/000162828021013318/exhibit42-sx1.htm" TargetMode="External"/><Relationship Id="rId7" Type="http://schemas.openxmlformats.org/officeDocument/2006/relationships/hyperlink" Target="https://www.sec.gov/Archives/edgar/data/1783879/000178387926000077/ex41robinhood-indenture.htm" TargetMode="External"/><Relationship Id="rId8" Type="http://schemas.openxmlformats.org/officeDocument/2006/relationships/hyperlink" Target="https://www.sec.gov/Archives/edgar/data/1783879/000178387926000077/ex41robinhood-indenture.htm" TargetMode="External"/><Relationship Id="rId9" Type="http://schemas.openxmlformats.org/officeDocument/2006/relationships/hyperlink" Target="https://www.sec.gov/Archives/edgar/data/1783879/000178387926000077/a101projectcatalyst-formof.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82918</Words>
  <Characters>461361</Characters>
  <CharactersWithSpaces>540887</CharactersWithSpaces>
  <Paragraphs>5999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