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17999.xml.htm"/>
      <w:bookmarkStart w:id="1" w:name="kswkform4_17894179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Bhatt Baiju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43,373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43,373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112.7717</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40,973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15,984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113.7372</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24,989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18,889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114.5114</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115.5387</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116.26</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3,703</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1071"/>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43,373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46,805,566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Living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As part of the transactions effected on September 10, 2026 pursuant to the Rule 10b5-1 trading plan adopted by the Baiju Bhatt Living Trust ("Living Trust") on November 13, 2025 ("Bhatt 10b5-1 plan"), the Living Trust sold an aggregate of 43,373 shares of its Class B Common Stock, resulting in an automatic conversion of the same amount of shares into Class A Common Stock upon execution of the sales.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effected pursuant to the Bhatt 10b5-1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$112.17 to $113.16.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during the day at prices ranging from $113.17 to $114.16.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during the day at prices ranging from $114.17 to $115.16.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during the day at prices ranging from $115.21 to $116.15.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transaction was executed during the day at the price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Baiju Bhatt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baijubhattd.htm"/>
      <w:bookmarkStart w:id="3" w:name="kssection16poabaijubhattd"/>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Power of Attorney POWER OF ATTORNEY Know all by these presents, that the undersigned hereby makes, constitutes and appoints each of Shiv Verma, Dara Bazzano, Lucas Moskowitz, Maureen Montgomery, and Jaime Cyrus, or any of them acting singly, and with full power of substitution and re-substitution, the undersigned’s true and lawful attorney in fact (each of such persons and their substitutes being referred to herein as the "Attorney-in- Fact"), with full power to act for the undersigned and in the undersigned's name, place and stead, in any and all capacities, to: 1. Prepare, execute, and submit to the U.S. Securities and Exchange Commission ("SEC"), Robinhood Markets,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16 of the Securities Exchange Act of 1934 (the "Exchange Act") or any rule or regulation thereunder with respect to the any security of the Company, including Forms 3, 4 and 5; and 2.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16 of the Exchange Act, including, without limitation, the reporting requirements under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Docusign Envelope ID: 2F4C4F1B-9DBD-820C-8105-C6E9570A7053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Power of Attorney This Power of Attorney shall remain in full force and effect until the undersigned is no longer required to file Forms 4 or 5 with respect to the undersigned's holdings of and transactions in securities of the Company, unless earlier revoked by the undersigned in a signed writing delivered to the Attorney- in-Fact. This Power of Attorney revokes all previous powers of attorney with respect to the subject matter of this Power of Attorney. IN WITNESS WHEREOF, the undersigned has executed this Power of Attorney as of ___________________. Signature: _________________________________ Print Name: Baiju Bhatt Docusign Envelope ID: 2F4C4F1B-9DBD-820C-8105-C6E9570A7053 July 20,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0914"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1649</Words>
  <Characters>8821</Characters>
  <CharactersWithSpaces>10337</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section16poa-baijubhattd</dc:title>
</cp:coreProperties>
</file>