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 No. 812-16054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color w:val="auto"/>
        </w:rPr>
        <w:t>U.S. SECURITIES AND EXCHANGE COMMISSION</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212725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VENTURES FUND I</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VENTURES FUND II</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VENTURES FUND III</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VENTURES LIGHTSPEED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VENTURES DE,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ASSET MANAGEMENT,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MARKETS, INC.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EUROPE, UAB</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ROBINHOOD ASSETS (JERSEY) LIMITED</w:t>
      </w:r>
    </w:p>
    <w:p>
      <w:pPr>
        <w:spacing w:after="0" w:line="2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 Willow Road</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650) 761-7789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177165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AMENDMENT NO. 1 TO THE APPLICATION FOR AN ORDER PURSUANT TO SECTIONS 17(d) AND 57(i) OF THE INVESTMENT COMPANY</w:t>
      </w:r>
    </w:p>
    <w:p>
      <w:pPr>
        <w:spacing w:after="0" w:line="39" w:lineRule="exact"/>
        <w:rPr>
          <w:sz w:val="24"/>
          <w:szCs w:val="24"/>
          <w:color w:val="auto"/>
        </w:rPr>
      </w:pPr>
    </w:p>
    <w:p>
      <w:pPr>
        <w:jc w:val="center"/>
        <w:ind w:right="60"/>
        <w:spacing w:after="0" w:line="290" w:lineRule="auto"/>
        <w:rPr>
          <w:sz w:val="20"/>
          <w:szCs w:val="20"/>
          <w:color w:val="auto"/>
        </w:rPr>
      </w:pPr>
      <w:r>
        <w:rPr>
          <w:rFonts w:ascii="Times New Roman" w:cs="Times New Roman" w:eastAsia="Times New Roman" w:hAnsi="Times New Roman"/>
          <w:sz w:val="17"/>
          <w:szCs w:val="17"/>
          <w:color w:val="auto"/>
        </w:rPr>
        <w:t>ACT OF 1940 AND RULE 17d-1 UNDER THE INVESTMENT COMPANY ACT OF 1940 PERMITTING CERTAIN JOINT TRANSACTIONS OTHERWISE PROHIBITED BY SECTIONS 17(d) AND 57(a)(4) OF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Christian Lymn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Aaron Ellias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85 Willow Road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761-7789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194310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Christopher P. Healey</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1050 17th Street, NW</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4"/>
          <w:szCs w:val="24"/>
          <w:color w:val="auto"/>
        </w:rPr>
      </w:pPr>
    </w:p>
    <w:p>
      <w:pPr>
        <w:ind w:left="5440" w:hanging="438"/>
        <w:spacing w:after="0"/>
        <w:tabs>
          <w:tab w:leader="none" w:pos="5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962-7000</w:t>
      </w:r>
    </w:p>
    <w:p>
      <w:pPr>
        <w:spacing w:after="0" w:line="9" w:lineRule="exact"/>
        <w:rPr>
          <w:rFonts w:ascii="Times New Roman" w:cs="Times New Roman" w:eastAsia="Times New Roman" w:hAnsi="Times New Roman"/>
          <w:sz w:val="18"/>
          <w:szCs w:val="18"/>
          <w:b w:val="1"/>
          <w:bCs w:val="1"/>
          <w:color w:val="auto"/>
        </w:rPr>
      </w:pPr>
    </w:p>
    <w:p>
      <w:pPr>
        <w:ind w:left="4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Christopher.Healey@davispolk.com</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Oran Ebel</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ind w:left="5440" w:hanging="438"/>
        <w:spacing w:after="0"/>
        <w:tabs>
          <w:tab w:leader="none" w:pos="5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450-4000</w:t>
      </w:r>
    </w:p>
    <w:p>
      <w:pPr>
        <w:spacing w:after="0" w:line="9" w:lineRule="exact"/>
        <w:rPr>
          <w:rFonts w:ascii="Times New Roman" w:cs="Times New Roman" w:eastAsia="Times New Roman" w:hAnsi="Times New Roman"/>
          <w:sz w:val="18"/>
          <w:szCs w:val="18"/>
          <w:b w:val="1"/>
          <w:bCs w:val="1"/>
          <w:color w:val="auto"/>
        </w:rPr>
      </w:pPr>
    </w:p>
    <w:p>
      <w:pPr>
        <w:ind w:left="4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Oran.Ebel@davispolk.com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177165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163195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188595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428625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46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THE MATTER OF</w:t>
            </w:r>
          </w:p>
        </w:tc>
        <w:tc>
          <w:tcPr>
            <w:tcW w:w="340" w:type="dxa"/>
            <w:vAlign w:val="bottom"/>
            <w:tcBorders>
              <w:top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AMENDMENT NO. 1 TO THE APPLICATION FOR AN</w:t>
            </w:r>
          </w:p>
        </w:tc>
      </w:tr>
      <w:tr>
        <w:trPr>
          <w:trHeight w:val="216"/>
        </w:trPr>
        <w:tc>
          <w:tcPr>
            <w:tcW w:w="5880" w:type="dxa"/>
            <w:vAlign w:val="bottom"/>
            <w:tcBorders>
              <w:left w:val="single" w:sz="8" w:color="auto"/>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ORDER</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VENTURES FUND I</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PURSUANT TO SECTIONS 17(d) AND 57(i)</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VENTURES FUND II</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OF THE INVESTMENT COMPANY ACT OF 1940 AND RULE</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VENTURES FUND III</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17d-1 UNDER THE</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VENTURES LIGHTSPEED FUND</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COMPANY ACT OF 1940</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VENTURES DE, LLC</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PERMITTING CERTAIN JOINT</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ASSET MANAGEMENT, LLC</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TRANSACTIONS OTHERWISE</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MARKETS, INC.</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PROHIBITED BY SECTIONS 17(d) AND</w:t>
            </w:r>
          </w:p>
        </w:tc>
      </w:tr>
      <w:tr>
        <w:trPr>
          <w:trHeight w:val="216"/>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EUROPE, UAB</w:t>
            </w:r>
          </w:p>
        </w:tc>
        <w:tc>
          <w:tcPr>
            <w:tcW w:w="3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57(a)(4) OF AND RULE 17d-1 UNDER THE</w:t>
            </w:r>
          </w:p>
        </w:tc>
      </w:tr>
      <w:tr>
        <w:trPr>
          <w:trHeight w:val="238"/>
        </w:trPr>
        <w:tc>
          <w:tcPr>
            <w:tcW w:w="5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ROBINHOOD ASSETS (JERSEY) LIMITED</w:t>
            </w:r>
          </w:p>
        </w:tc>
        <w:tc>
          <w:tcPr>
            <w:tcW w:w="340" w:type="dxa"/>
            <w:vAlign w:val="bottom"/>
            <w:tcBorders>
              <w:right w:val="single" w:sz="8" w:color="auto"/>
            </w:tcBorders>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COMPANY ACT OF 1940</w:t>
            </w:r>
          </w:p>
        </w:tc>
      </w:tr>
      <w:tr>
        <w:trPr>
          <w:trHeight w:val="432"/>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File No. 812-16054</w:t>
            </w:r>
          </w:p>
        </w:tc>
        <w:tc>
          <w:tcPr>
            <w:tcW w:w="340" w:type="dxa"/>
            <w:vAlign w:val="bottom"/>
            <w:tcBorders>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4"/>
                <w:szCs w:val="24"/>
                <w:color w:val="auto"/>
              </w:rPr>
            </w:pPr>
          </w:p>
        </w:tc>
      </w:tr>
      <w:tr>
        <w:trPr>
          <w:trHeight w:val="42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    SUMMARY OF APPLICATION</w:t>
            </w: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pacing w:after="0" w:line="194" w:lineRule="exact"/>
        <w:rPr>
          <w:sz w:val="20"/>
          <w:szCs w:val="20"/>
          <w:color w:val="auto"/>
        </w:rPr>
      </w:pPr>
    </w:p>
    <w:p>
      <w:pPr>
        <w:ind w:right="260" w:firstLine="324"/>
        <w:spacing w:after="0" w:line="228"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17(d) and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w:t>
      </w:r>
    </w:p>
    <w:p>
      <w:pPr>
        <w:spacing w:after="0" w:line="194" w:lineRule="exact"/>
        <w:rPr>
          <w:sz w:val="20"/>
          <w:szCs w:val="20"/>
          <w:color w:val="auto"/>
        </w:rPr>
      </w:pPr>
    </w:p>
    <w:p>
      <w:pPr>
        <w:ind w:left="660" w:right="560" w:hanging="319"/>
        <w:spacing w:after="0" w:line="285"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Robinhood Ventures Fund I (the “</w:t>
      </w:r>
      <w:r>
        <w:rPr>
          <w:rFonts w:ascii="Times New Roman" w:cs="Times New Roman" w:eastAsia="Times New Roman" w:hAnsi="Times New Roman"/>
          <w:sz w:val="18"/>
          <w:szCs w:val="18"/>
          <w:b w:val="1"/>
          <w:bCs w:val="1"/>
          <w:i w:val="1"/>
          <w:iCs w:val="1"/>
          <w:color w:val="auto"/>
        </w:rPr>
        <w:t>RVI</w:t>
      </w:r>
      <w:r>
        <w:rPr>
          <w:rFonts w:ascii="Times New Roman" w:cs="Times New Roman" w:eastAsia="Times New Roman" w:hAnsi="Times New Roman"/>
          <w:sz w:val="18"/>
          <w:szCs w:val="18"/>
          <w:color w:val="auto"/>
        </w:rPr>
        <w:t>”), a Delaware statutory trust that is an externally-managed, non-diversified, closed-end management investment company registered under the 1940 Act;</w:t>
      </w:r>
    </w:p>
    <w:p>
      <w:pPr>
        <w:spacing w:after="0" w:line="155" w:lineRule="exact"/>
        <w:rPr>
          <w:sz w:val="20"/>
          <w:szCs w:val="20"/>
          <w:color w:val="auto"/>
        </w:rPr>
      </w:pPr>
    </w:p>
    <w:p>
      <w:pPr>
        <w:ind w:left="660" w:right="180" w:hanging="319"/>
        <w:spacing w:after="0" w:line="285"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Robinhood Ventures Fund II (“</w:t>
      </w:r>
      <w:r>
        <w:rPr>
          <w:rFonts w:ascii="Times New Roman" w:cs="Times New Roman" w:eastAsia="Times New Roman" w:hAnsi="Times New Roman"/>
          <w:sz w:val="18"/>
          <w:szCs w:val="18"/>
          <w:b w:val="1"/>
          <w:bCs w:val="1"/>
          <w:i w:val="1"/>
          <w:iCs w:val="1"/>
          <w:color w:val="auto"/>
        </w:rPr>
        <w:t>RVII</w:t>
      </w:r>
      <w:r>
        <w:rPr>
          <w:rFonts w:ascii="Times New Roman" w:cs="Times New Roman" w:eastAsia="Times New Roman" w:hAnsi="Times New Roman"/>
          <w:sz w:val="18"/>
          <w:szCs w:val="18"/>
          <w:color w:val="auto"/>
        </w:rPr>
        <w:t>”), a Delaware statutory trust that is an externally-managed, diversified, closed-end management investment company that has elected to be regulated as a BDC under the 1940 Act;</w:t>
      </w:r>
    </w:p>
    <w:p>
      <w:pPr>
        <w:spacing w:after="0" w:line="155" w:lineRule="exact"/>
        <w:rPr>
          <w:sz w:val="20"/>
          <w:szCs w:val="20"/>
          <w:color w:val="auto"/>
        </w:rPr>
      </w:pPr>
    </w:p>
    <w:p>
      <w:pPr>
        <w:ind w:left="660" w:right="200" w:hanging="319"/>
        <w:spacing w:after="0" w:line="285"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Robinhood Ventures Fund III (“</w:t>
      </w:r>
      <w:r>
        <w:rPr>
          <w:rFonts w:ascii="Times New Roman" w:cs="Times New Roman" w:eastAsia="Times New Roman" w:hAnsi="Times New Roman"/>
          <w:sz w:val="18"/>
          <w:szCs w:val="18"/>
          <w:b w:val="1"/>
          <w:bCs w:val="1"/>
          <w:i w:val="1"/>
          <w:iCs w:val="1"/>
          <w:color w:val="auto"/>
        </w:rPr>
        <w:t>RVIII</w:t>
      </w:r>
      <w:r>
        <w:rPr>
          <w:rFonts w:ascii="Times New Roman" w:cs="Times New Roman" w:eastAsia="Times New Roman" w:hAnsi="Times New Roman"/>
          <w:sz w:val="18"/>
          <w:szCs w:val="18"/>
          <w:color w:val="auto"/>
        </w:rPr>
        <w:t>”), a Delaware statutory trust that was formed for the purpose of operating as an externally-managed, non-diversified, closed-end management investment company registered under the 1940 Act;</w:t>
      </w:r>
    </w:p>
    <w:p>
      <w:pPr>
        <w:spacing w:after="0" w:line="155" w:lineRule="exact"/>
        <w:rPr>
          <w:sz w:val="20"/>
          <w:szCs w:val="20"/>
          <w:color w:val="auto"/>
        </w:rPr>
      </w:pPr>
    </w:p>
    <w:p>
      <w:pPr>
        <w:ind w:left="660" w:right="80" w:hanging="319"/>
        <w:spacing w:after="0" w:line="262"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Robinhood Ventures Lightspeed Fund (“</w:t>
      </w:r>
      <w:r>
        <w:rPr>
          <w:rFonts w:ascii="Times New Roman" w:cs="Times New Roman" w:eastAsia="Times New Roman" w:hAnsi="Times New Roman"/>
          <w:sz w:val="18"/>
          <w:szCs w:val="18"/>
          <w:b w:val="1"/>
          <w:bCs w:val="1"/>
          <w:i w:val="1"/>
          <w:iCs w:val="1"/>
          <w:color w:val="auto"/>
        </w:rPr>
        <w:t>RVLS</w:t>
      </w:r>
      <w:r>
        <w:rPr>
          <w:rFonts w:ascii="Times New Roman" w:cs="Times New Roman" w:eastAsia="Times New Roman" w:hAnsi="Times New Roman"/>
          <w:sz w:val="18"/>
          <w:szCs w:val="18"/>
          <w:color w:val="auto"/>
        </w:rPr>
        <w:t xml:space="preserve">” and together with </w:t>
      </w:r>
      <w:r>
        <w:rPr>
          <w:rFonts w:ascii="Times New Roman" w:cs="Times New Roman" w:eastAsia="Times New Roman" w:hAnsi="Times New Roman"/>
          <w:sz w:val="18"/>
          <w:szCs w:val="18"/>
          <w:b w:val="1"/>
          <w:bCs w:val="1"/>
          <w:i w:val="1"/>
          <w:iCs w:val="1"/>
          <w:color w:val="auto"/>
        </w:rPr>
        <w:t>RVI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RVIII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 a Delaware statutory trust that was formed for the purpose of operating as an externally-managed, diversified, closed-end management investment company and that intends to elect to be regulated as a BDC under the 1940 Act. RVLS was initially formed as “Robinhood Ventures Fund IV”. RVLS changed its name to Robinhood Ventures Lightspeed Fund on September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p>
      <w:pPr>
        <w:jc w:val="both"/>
        <w:ind w:left="652" w:hanging="328"/>
        <w:spacing w:after="0" w:line="276" w:lineRule="auto"/>
        <w:tabs>
          <w:tab w:leader="none" w:pos="652"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Robinhood Ventures DE, LLC, a Delaware limited liability company that is registered as an investment adviser under the Investment Advisers Act of 1940 (the “Advisers Act”) and serves or will serve as the investment adviser to the Existing Regulated Funds (“Robinhood Ventures”) on behalf of itself and its successors;</w:t>
      </w:r>
      <w:r>
        <w:rPr>
          <w:rFonts w:ascii="Times New Roman" w:cs="Times New Roman" w:eastAsia="Times New Roman" w:hAnsi="Times New Roman"/>
          <w:sz w:val="29"/>
          <w:szCs w:val="29"/>
          <w:color w:val="auto"/>
          <w:vertAlign w:val="superscript"/>
        </w:rPr>
        <w:t>2</w:t>
      </w:r>
    </w:p>
    <w:p>
      <w:pPr>
        <w:spacing w:after="0" w:line="44" w:lineRule="exact"/>
        <w:rPr>
          <w:rFonts w:ascii="Arial" w:cs="Arial" w:eastAsia="Arial" w:hAnsi="Arial"/>
          <w:sz w:val="18"/>
          <w:szCs w:val="18"/>
          <w:b w:val="1"/>
          <w:bCs w:val="1"/>
          <w:color w:val="auto"/>
        </w:rPr>
      </w:pPr>
    </w:p>
    <w:p>
      <w:pPr>
        <w:ind w:left="652" w:right="600" w:hanging="328"/>
        <w:spacing w:after="0" w:line="311" w:lineRule="auto"/>
        <w:tabs>
          <w:tab w:leader="none" w:pos="652"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Robinhood Asset Management, LLC, a Delaware limited liability company that is an investment adviser registered under the Advisers Act (“Robinhood Asset Management” and, together with Robinhood Ventures, the “</w:t>
      </w:r>
      <w:r>
        <w:rPr>
          <w:rFonts w:ascii="Times New Roman" w:cs="Times New Roman" w:eastAsia="Times New Roman" w:hAnsi="Times New Roman"/>
          <w:sz w:val="17"/>
          <w:szCs w:val="17"/>
          <w:b w:val="1"/>
          <w:bCs w:val="1"/>
          <w:i w:val="1"/>
          <w:iCs w:val="1"/>
          <w:color w:val="auto"/>
        </w:rPr>
        <w:t>Existing Advisers</w:t>
      </w:r>
      <w:r>
        <w:rPr>
          <w:rFonts w:ascii="Times New Roman" w:cs="Times New Roman" w:eastAsia="Times New Roman" w:hAnsi="Times New Roman"/>
          <w:sz w:val="17"/>
          <w:szCs w:val="17"/>
          <w:color w:val="auto"/>
        </w:rPr>
        <w:t>”) on behalf of itself and its successors;</w:t>
      </w:r>
    </w:p>
    <w:p>
      <w:pPr>
        <w:spacing w:after="0" w:line="140" w:lineRule="exact"/>
        <w:rPr>
          <w:rFonts w:ascii="Arial" w:cs="Arial" w:eastAsia="Arial" w:hAnsi="Arial"/>
          <w:sz w:val="17"/>
          <w:szCs w:val="17"/>
          <w:b w:val="1"/>
          <w:bCs w:val="1"/>
          <w:color w:val="auto"/>
        </w:rPr>
      </w:pPr>
    </w:p>
    <w:p>
      <w:pPr>
        <w:ind w:left="652" w:right="420" w:hanging="328"/>
        <w:spacing w:after="0" w:line="276" w:lineRule="auto"/>
        <w:tabs>
          <w:tab w:leader="none" w:pos="652"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Robinhood Markets, Inc., Robinhood Europe, UAB (“Robinhood Europe”), and Robinhood Assets (Jersey) Limited (“Robinhood Jersey”), affiliates of the Existing Advisers that, from time to time, hold various financial assets in a principal capacity (in such capacity,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Proprietary Accounts</w:t>
      </w:r>
      <w:r>
        <w:rPr>
          <w:rFonts w:ascii="Times New Roman" w:cs="Times New Roman" w:eastAsia="Times New Roman" w:hAnsi="Times New Roman"/>
          <w:sz w:val="18"/>
          <w:szCs w:val="18"/>
          <w:color w:val="auto"/>
        </w:rPr>
        <w:t>”, together with the Existing Regulated Funds and the Existing Advisers,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23869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143"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“successor” means an entity that results from a reorganization into another jurisdiction or change in the type of business organization.</w:t>
      </w:r>
    </w:p>
    <w:p>
      <w:pPr>
        <w:spacing w:after="0" w:line="198" w:lineRule="exact"/>
        <w:rPr>
          <w:sz w:val="20"/>
          <w:szCs w:val="20"/>
          <w:color w:val="auto"/>
        </w:rPr>
      </w:pPr>
    </w:p>
    <w:p>
      <w:pPr>
        <w:ind w:left="652" w:right="100" w:hanging="652"/>
        <w:spacing w:after="0" w:line="195" w:lineRule="auto"/>
        <w:tabs>
          <w:tab w:leader="none" w:pos="65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200" w:lineRule="exact"/>
        <w:rPr>
          <w:sz w:val="20"/>
          <w:szCs w:val="20"/>
          <w:color w:val="auto"/>
        </w:rPr>
      </w:pPr>
    </w:p>
    <w:p>
      <w:pPr>
        <w:spacing w:after="0" w:line="3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012" w:right="359" w:bottom="1440" w:gutter="0" w:footer="0" w:header="0"/>
        </w:sectPr>
      </w:pPr>
    </w:p>
    <w:bookmarkStart w:id="3" w:name="page4"/>
    <w:bookmarkEnd w:id="3"/>
    <w:p>
      <w:pPr>
        <w:ind w:right="140"/>
        <w:spacing w:after="0" w:line="209" w:lineRule="auto"/>
        <w:rPr>
          <w:sz w:val="20"/>
          <w:szCs w:val="20"/>
          <w:color w:val="auto"/>
        </w:rPr>
      </w:pPr>
      <w:r>
        <w:rPr>
          <w:rFonts w:ascii="Times New Roman" w:cs="Times New Roman" w:eastAsia="Times New Roman" w:hAnsi="Times New Roman"/>
          <w:sz w:val="18"/>
          <w:szCs w:val="18"/>
          <w:color w:val="auto"/>
        </w:rPr>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9"/>
          <w:szCs w:val="29"/>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071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60" w:hanging="652"/>
        <w:spacing w:after="0" w:line="229" w:lineRule="auto"/>
        <w:tabs>
          <w:tab w:leader="none" w:pos="66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Funds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(or a series thereof, as applicable) (a) that is an open-end or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199" w:lineRule="exact"/>
        <w:rPr>
          <w:rFonts w:ascii="Times New Roman" w:cs="Times New Roman" w:eastAsia="Times New Roman" w:hAnsi="Times New Roman"/>
          <w:sz w:val="30"/>
          <w:szCs w:val="30"/>
          <w:color w:val="auto"/>
          <w:vertAlign w:val="superscript"/>
        </w:rPr>
      </w:pPr>
    </w:p>
    <w:p>
      <w:pPr>
        <w:ind w:left="660"/>
        <w:spacing w:after="0" w:line="25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191" w:lineRule="exact"/>
        <w:rPr>
          <w:rFonts w:ascii="Times New Roman" w:cs="Times New Roman" w:eastAsia="Times New Roman" w:hAnsi="Times New Roman"/>
          <w:sz w:val="30"/>
          <w:szCs w:val="30"/>
          <w:color w:val="auto"/>
          <w:vertAlign w:val="superscript"/>
        </w:rPr>
      </w:pPr>
    </w:p>
    <w:p>
      <w:pPr>
        <w:ind w:left="660" w:right="120"/>
        <w:spacing w:after="0" w:line="27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7"/>
          <w:szCs w:val="17"/>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164" w:lineRule="exact"/>
        <w:rPr>
          <w:sz w:val="20"/>
          <w:szCs w:val="20"/>
          <w:color w:val="auto"/>
        </w:rPr>
      </w:pPr>
    </w:p>
    <w:p>
      <w:pPr>
        <w:ind w:left="660" w:right="40" w:hanging="652"/>
        <w:spacing w:after="0" w:line="220" w:lineRule="auto"/>
        <w:tabs>
          <w:tab w:leader="none" w:pos="66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spacing w:after="0" w:line="19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158" w:lineRule="exact"/>
        <w:rPr>
          <w:sz w:val="20"/>
          <w:szCs w:val="20"/>
          <w:color w:val="auto"/>
        </w:rPr>
      </w:pPr>
    </w:p>
    <w:p>
      <w:pPr>
        <w:ind w:left="660" w:right="220" w:hanging="652"/>
        <w:spacing w:after="0" w:line="197" w:lineRule="auto"/>
        <w:tabs>
          <w:tab w:leader="none" w:pos="66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195" w:lineRule="exact"/>
        <w:rPr>
          <w:sz w:val="20"/>
          <w:szCs w:val="20"/>
          <w:color w:val="auto"/>
        </w:rPr>
      </w:pPr>
    </w:p>
    <w:p>
      <w:pPr>
        <w:ind w:left="660" w:right="20" w:hanging="652"/>
        <w:spacing w:after="0" w:line="211"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Robinhood Ventures, Robinhood Asset Management and any other investment adviser controlling, controlled by, or under common control with Robinhood Ventures or Robinhood Asset Management. The term “Adviser” also includes any internally-managed Regulated Fund.</w:t>
      </w:r>
    </w:p>
    <w:p>
      <w:pPr>
        <w:spacing w:after="0" w:line="199" w:lineRule="exact"/>
        <w:rPr>
          <w:sz w:val="20"/>
          <w:szCs w:val="20"/>
          <w:color w:val="auto"/>
        </w:rPr>
      </w:pPr>
    </w:p>
    <w:p>
      <w:pPr>
        <w:ind w:left="660" w:hanging="652"/>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DESCRIPTION OF THE APPLICANTS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Robinhood Markets, Inc. (“Robinhood Markets”) is a publicly traded holding company. Robinhood Ventures, Robinhood Asset Management, Robinhood Europe, UAB, and Robinhood Assets (Jersey) Limited are wholly-owned subsidiaries of Robinhood Markets. Robinhood Ventures, Robinhood Asset Management, Robinhood Europe, UAB, and Robinhood Assets (Jersey) Limited may therefore be deemed under control of Robinhood Markets. Robinhood Ventures may be deemed to control RVI, RVII, and RVLS by virtue of its position as RVI’s, RVII’s, RVLS’s investment adviser. Robinhood Ventures may be deemed to control RVIII when it is appointed RVIII’s investment adviser. All of the Applicants may therefore be deemed under the common control of Robinhood Markets.</w:t>
      </w:r>
    </w:p>
    <w:p>
      <w:pPr>
        <w:spacing w:after="0" w:line="18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RVI</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RVI is a closed-end, non-diversified management investment company that is registered under the 1940 Act. RVI commenced operations on September 5, 2025. RVI intends to qualify annually as a regulated investment company (or “RIC”) under the Internal Revenue Code of 1986, as amended (the “Code”). RVI’s principal place of business is 85 Willow Road, Menlo Park, California, 94025.</w:t>
      </w:r>
    </w:p>
    <w:p>
      <w:pPr>
        <w:spacing w:after="0" w:line="176" w:lineRule="exact"/>
        <w:rPr>
          <w:sz w:val="20"/>
          <w:szCs w:val="20"/>
          <w:color w:val="auto"/>
        </w:rPr>
      </w:pPr>
    </w:p>
    <w:p>
      <w:pPr>
        <w:ind w:right="560" w:firstLine="324"/>
        <w:spacing w:after="0" w:line="276" w:lineRule="auto"/>
        <w:rPr>
          <w:sz w:val="20"/>
          <w:szCs w:val="20"/>
          <w:color w:val="auto"/>
        </w:rPr>
      </w:pPr>
      <w:r>
        <w:rPr>
          <w:rFonts w:ascii="Times New Roman" w:cs="Times New Roman" w:eastAsia="Times New Roman" w:hAnsi="Times New Roman"/>
          <w:sz w:val="18"/>
          <w:szCs w:val="18"/>
          <w:color w:val="auto"/>
        </w:rPr>
        <w:t>RVI’s investment objective is to seek long-term capital appreciation. RVI’s business and affairs are managed under the direction of the Board of Trustees (“RVI Board”), composed of five Trustees, three of whom are not “interested persons” (as defined in the 1940 Act) of RVI (“Independent Trustees”).</w:t>
      </w:r>
      <w:r>
        <w:rPr>
          <w:rFonts w:ascii="Times New Roman" w:cs="Times New Roman" w:eastAsia="Times New Roman" w:hAnsi="Times New Roman"/>
          <w:sz w:val="29"/>
          <w:szCs w:val="29"/>
          <w:color w:val="auto"/>
          <w:vertAlign w:val="superscript"/>
        </w:rPr>
        <w:t>9</w:t>
      </w:r>
    </w:p>
    <w:p>
      <w:pPr>
        <w:spacing w:after="0" w:line="4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RVII</w:t>
      </w:r>
    </w:p>
    <w:p>
      <w:pPr>
        <w:spacing w:after="0" w:line="22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RVII is a Delaware statutory trust that was formed for the purpose of operating as an externally-managed, diversified, closed-end management investment company that has elected to be regulated as a BDC under the 1940 Act. RVII commenced operations on March 16, 2026. RVII intends to qualify annually as a RIC under the Code. RVII’s principal place of business is 85 Willow Road, Menlo Park, California, 94025.</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RVII’s investment objective is to seek long-term capital appreciation. RVII’s business and affairs are managed under the direction of the Board of Trustees (“RVII Board”), composed of five Trustees, three of whom are Independent Trustees.</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RVIII</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RVIII is a newly formed Delaware statutory trust that was formed for the purpose of operating as a non-diversified, closed-end management investment company that intends to become registered under the 1940 Act. RVIII has not yet commenced operations. RVIII intends to qualify annually as a RIC under the Code. RVIII’s principal place of business is 85 Willow Road, Menlo Park, California, 94025.</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RVIII’s investment objective is to seek long-term capital appreciation. RVIII’s business and affairs will be managed under the direction of the Board of Trustees (“RVIII Board”), composed of five Trustees, three of whom are expected to be Independent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071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right="140" w:hanging="652"/>
        <w:spacing w:after="0" w:line="195" w:lineRule="auto"/>
        <w:tabs>
          <w:tab w:leader="none" w:pos="66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RVLS</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RVLS is a newly formed Delaware statutory trust that was formed for the purpose of operating as an externally-managed, diversified, closed-end management investment company and that intends to elect to be regulated as a BDC under the 1940 Act. RVLS has not yet commenced operations. RVLS intends to qualify annually as a RIC under the Code. RVLS’s principal place of business is 85 Willow Road, Menlo Park, California, 94025.</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RVLS investment objective is to seek long-term capital appreciation. RVLS’s business and affairs are managed under the direction of the Board of Trustees (“RVLS Board”) (together with the RVI Board, the RVII Board, the RVIII Board and any Future Regulated Fund’s board of directors or trustees, the “Board”), composed of five Trustees, three of whom are Independent Trustees.</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Robinhood Ventures and Robinhood Asset Management</w:t>
      </w:r>
    </w:p>
    <w:p>
      <w:pPr>
        <w:spacing w:after="0" w:line="22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Robinhood Ventures, a wholly-owned subsidiary of Robinhood Markets, is registered under the Advisers Act and serves as the investment adviser to RVI, RVII, and RVLS pursuant to an investment advisory agreement, and will serve as the investment adviser to RVIII. Robinhood Ventures, Robinhood Asset Management, a wholly-owned subsidiary of Robinhood Markets, or another Adviser will serve as the investment adviser to any Future Regulated Fund. Each of Robinhood Ventures and Robinhood Asset Management is a Delaware limited liability company. Robinhood Asset Management is a registered investment adviser. Robinhood Asset Management does not currently serve as investment adviser to any Applicants.</w:t>
      </w:r>
    </w:p>
    <w:p>
      <w:pPr>
        <w:spacing w:after="0" w:line="183"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Under the terms of an investment advisory agreement with each Existing Regulated Fund, Robinhood Ventures will, among other things, manage the investment portfolio, direct purchases and sales of portfolio securities and report thereon to each Existing Regulated Fund’s officers and trustees regularly.</w:t>
      </w:r>
    </w:p>
    <w:p>
      <w:pPr>
        <w:spacing w:after="0" w:line="14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Proprietary Accounts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Existing Proprietary Accounts will, from time to time, hold various financial assets in a principal capacity. Robinhood Markets has various business lines that it operates through its wholly-owned subsidiaries, and the subsidiaries that exist and currently intend to participate in the co-investment program have been included as Applicants herein. The Existing Proprietary Accounts are included on Schedule A hereto.</w:t>
      </w:r>
    </w:p>
    <w:p>
      <w:pPr>
        <w:spacing w:after="0" w:line="176"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Each of Robinhood Europe and Robinhood Jersey is a wholly-owned subsidiary of Robinhood Markets, a publicly traded holding company. Robinhood Europe is authorized and regulated by the Bank of Lithuania as a financial brokerage firm and a crypto-asset service provider. Robinhood Jersey is a private limited company incorporated in Jersey that issues tokenized debt securities. The Adviser, Robinhood Europe and Robinhood Jersey are wholly-owned subsidiaries of Robinhood Markets, and may therefore be deemed under common control, and are thus affiliated persons of one another.</w:t>
      </w:r>
    </w:p>
    <w:p>
      <w:pPr>
        <w:spacing w:after="0" w:line="160" w:lineRule="exact"/>
        <w:rPr>
          <w:sz w:val="20"/>
          <w:szCs w:val="20"/>
          <w:color w:val="auto"/>
        </w:rPr>
      </w:pPr>
    </w:p>
    <w:p>
      <w:pPr>
        <w:ind w:left="580" w:hanging="572"/>
        <w:spacing w:after="0"/>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 REQUESTED</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172" w:lineRule="exact"/>
        <w:rPr>
          <w:sz w:val="20"/>
          <w:szCs w:val="20"/>
          <w:color w:val="auto"/>
        </w:rPr>
      </w:pPr>
    </w:p>
    <w:p>
      <w:pPr>
        <w:ind w:left="640" w:hanging="464"/>
        <w:spacing w:after="0"/>
        <w:tabs>
          <w:tab w:leader="none" w:pos="6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Applicable Law</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“joint enterprise or other joint arrangement or profit-sharing plan”</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13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6" w:lineRule="exact"/>
        <w:rPr>
          <w:sz w:val="20"/>
          <w:szCs w:val="20"/>
          <w:color w:val="auto"/>
        </w:rPr>
      </w:pPr>
    </w:p>
    <w:p>
      <w:pPr>
        <w:ind w:left="660" w:hanging="484"/>
        <w:spacing w:after="0"/>
        <w:tabs>
          <w:tab w:leader="none" w:pos="6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Need for Relief</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a closed-end fund or a business development company, respectively, including a sub-adviser. Thus, an Adviser and any Affiliated Entities that it advises could be deemed to be persons related to Regulated Funds in a manner described by Sections 17(d) and 57(b). Robinhood Ventures and Robinhood Asset Management are wholly-owned by Robinhood Markets,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Advisers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175" w:lineRule="exact"/>
        <w:rPr>
          <w:sz w:val="20"/>
          <w:szCs w:val="20"/>
          <w:color w:val="auto"/>
        </w:rPr>
      </w:pPr>
    </w:p>
    <w:p>
      <w:pPr>
        <w:ind w:left="660" w:hanging="484"/>
        <w:spacing w:after="0"/>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Conditions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3" w:lineRule="exact"/>
        <w:rPr>
          <w:sz w:val="20"/>
          <w:szCs w:val="20"/>
          <w:color w:val="auto"/>
        </w:rPr>
      </w:pPr>
    </w:p>
    <w:p>
      <w:pPr>
        <w:ind w:firstLine="332"/>
        <w:spacing w:after="0" w:line="257" w:lineRule="auto"/>
        <w:tabs>
          <w:tab w:leader="none" w:pos="7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712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99" w:lineRule="exact"/>
        <w:rPr>
          <w:sz w:val="20"/>
          <w:szCs w:val="20"/>
          <w:color w:val="auto"/>
        </w:rPr>
      </w:pPr>
    </w:p>
    <w:p>
      <w:pPr>
        <w:ind w:left="660" w:right="100" w:hanging="652"/>
        <w:spacing w:after="0" w:line="219" w:lineRule="auto"/>
        <w:tabs>
          <w:tab w:leader="none" w:pos="66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company, the Board of each Regulated Fund that does not hold this right must be given the opportunity to veto the selection of such person.</w:t>
      </w:r>
      <w:r>
        <w:rPr>
          <w:rFonts w:ascii="Times New Roman" w:cs="Times New Roman" w:eastAsia="Times New Roman" w:hAnsi="Times New Roman"/>
          <w:sz w:val="29"/>
          <w:szCs w:val="29"/>
          <w:color w:val="auto"/>
          <w:vertAlign w:val="superscript"/>
        </w:rPr>
        <w:t>11</w:t>
      </w:r>
    </w:p>
    <w:p>
      <w:pPr>
        <w:spacing w:after="0" w:line="133" w:lineRule="exact"/>
        <w:rPr>
          <w:sz w:val="20"/>
          <w:szCs w:val="20"/>
          <w:color w:val="auto"/>
        </w:rPr>
      </w:pPr>
    </w:p>
    <w:p>
      <w:pPr>
        <w:jc w:val="both"/>
        <w:ind w:right="560" w:firstLine="332"/>
        <w:spacing w:after="0" w:line="229"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Existing Investments in the Issuer</w:t>
      </w:r>
      <w:r>
        <w:rPr>
          <w:rFonts w:ascii="Times New Roman" w:cs="Times New Roman" w:eastAsia="Times New Roman" w:hAnsi="Times New Roman"/>
          <w:sz w:val="17"/>
          <w:szCs w:val="17"/>
          <w:color w:val="auto"/>
        </w:rPr>
        <w:t>. Prior to a Regulated Fund acquiring in a Co-Investment Transaction a security of an issuer in which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Affiliated Entity has an existing interest in such issuer, the “required majority,” as defined in Section 57(o) of the 1940 Act,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of the Regulated Fund</w:t>
      </w:r>
    </w:p>
    <w:p>
      <w:pPr>
        <w:ind w:right="360"/>
        <w:spacing w:after="0" w:line="22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spacing w:after="0" w:line="198" w:lineRule="exact"/>
        <w:rPr>
          <w:sz w:val="20"/>
          <w:szCs w:val="20"/>
          <w:color w:val="auto"/>
        </w:rPr>
      </w:pPr>
    </w:p>
    <w:p>
      <w:pPr>
        <w:ind w:right="140" w:firstLine="332"/>
        <w:spacing w:after="0" w:line="277" w:lineRule="auto"/>
        <w:tabs>
          <w:tab w:leader="none" w:pos="7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9"/>
          <w:szCs w:val="29"/>
          <w:color w:val="auto"/>
          <w:vertAlign w:val="superscript"/>
        </w:rPr>
        <w:t>14</w:t>
      </w:r>
    </w:p>
    <w:p>
      <w:pPr>
        <w:spacing w:after="0" w:line="47" w:lineRule="exact"/>
        <w:rPr>
          <w:rFonts w:ascii="Times New Roman" w:cs="Times New Roman" w:eastAsia="Times New Roman" w:hAnsi="Times New Roman"/>
          <w:sz w:val="18"/>
          <w:szCs w:val="18"/>
          <w:color w:val="auto"/>
        </w:rPr>
      </w:pPr>
    </w:p>
    <w:p>
      <w:pPr>
        <w:ind w:firstLine="332"/>
        <w:spacing w:after="0"/>
        <w:tabs>
          <w:tab w:leader="none" w:pos="7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break-up, structuring, monitoring or commitment fees but excluding broker’s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712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13" w:lineRule="exact"/>
        <w:rPr>
          <w:sz w:val="20"/>
          <w:szCs w:val="20"/>
          <w:color w:val="auto"/>
        </w:rPr>
      </w:pPr>
    </w:p>
    <w:p>
      <w:pPr>
        <w:ind w:left="660" w:right="260" w:hanging="652"/>
        <w:spacing w:after="0" w:line="195" w:lineRule="auto"/>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99" w:lineRule="exact"/>
        <w:rPr>
          <w:rFonts w:ascii="Times New Roman" w:cs="Times New Roman" w:eastAsia="Times New Roman" w:hAnsi="Times New Roman"/>
          <w:sz w:val="30"/>
          <w:szCs w:val="30"/>
          <w:color w:val="auto"/>
          <w:vertAlign w:val="superscript"/>
        </w:rPr>
      </w:pPr>
    </w:p>
    <w:p>
      <w:pPr>
        <w:ind w:left="660" w:right="40" w:hanging="652"/>
        <w:spacing w:after="0" w:line="235" w:lineRule="auto"/>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full Board of the Regulated Fund at the Board’s next regularly-scheduled meeting.</w:t>
      </w:r>
    </w:p>
    <w:p>
      <w:pPr>
        <w:spacing w:after="0" w:line="200" w:lineRule="exact"/>
        <w:rPr>
          <w:rFonts w:ascii="Times New Roman" w:cs="Times New Roman" w:eastAsia="Times New Roman" w:hAnsi="Times New Roman"/>
          <w:sz w:val="30"/>
          <w:szCs w:val="30"/>
          <w:color w:val="auto"/>
          <w:vertAlign w:val="superscript"/>
        </w:rPr>
      </w:pPr>
    </w:p>
    <w:p>
      <w:pPr>
        <w:ind w:left="660" w:hanging="652"/>
        <w:spacing w:after="0" w:line="228" w:lineRule="auto"/>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spacing w:after="0" w:line="201" w:lineRule="exact"/>
        <w:rPr>
          <w:rFonts w:ascii="Times New Roman" w:cs="Times New Roman" w:eastAsia="Times New Roman" w:hAnsi="Times New Roman"/>
          <w:sz w:val="30"/>
          <w:szCs w:val="30"/>
          <w:color w:val="auto"/>
          <w:vertAlign w:val="superscript"/>
        </w:rPr>
      </w:pPr>
    </w:p>
    <w:p>
      <w:pPr>
        <w:ind w:left="660" w:right="380" w:hanging="652"/>
        <w:spacing w:after="0" w:line="195" w:lineRule="auto"/>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99" w:lineRule="exact"/>
        <w:rPr>
          <w:rFonts w:ascii="Times New Roman" w:cs="Times New Roman" w:eastAsia="Times New Roman" w:hAnsi="Times New Roman"/>
          <w:sz w:val="30"/>
          <w:szCs w:val="30"/>
          <w:color w:val="auto"/>
          <w:vertAlign w:val="superscript"/>
        </w:rPr>
      </w:pPr>
    </w:p>
    <w:p>
      <w:pPr>
        <w:ind w:left="660" w:right="160" w:hanging="652"/>
        <w:spacing w:after="0" w:line="195" w:lineRule="auto"/>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right="120"/>
        <w:spacing w:after="0" w:line="266" w:lineRule="auto"/>
        <w:rPr>
          <w:sz w:val="20"/>
          <w:szCs w:val="20"/>
          <w:color w:val="auto"/>
        </w:rPr>
      </w:pPr>
      <w:r>
        <w:rPr>
          <w:rFonts w:ascii="Times New Roman" w:cs="Times New Roman" w:eastAsia="Times New Roman" w:hAnsi="Times New Roman"/>
          <w:sz w:val="18"/>
          <w:szCs w:val="18"/>
          <w:color w:val="auto"/>
        </w:rPr>
        <w:t>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74" w:lineRule="exact"/>
        <w:rPr>
          <w:sz w:val="20"/>
          <w:szCs w:val="20"/>
          <w:color w:val="auto"/>
        </w:rPr>
      </w:pPr>
    </w:p>
    <w:p>
      <w:pPr>
        <w:ind w:right="140" w:firstLine="332"/>
        <w:spacing w:after="0" w:line="265" w:lineRule="auto"/>
        <w:tabs>
          <w:tab w:leader="none" w:pos="7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9"/>
          <w:szCs w:val="29"/>
          <w:color w:val="auto"/>
          <w:vertAlign w:val="superscript"/>
        </w:rPr>
        <w:t>16</w:t>
      </w:r>
    </w:p>
    <w:p>
      <w:pPr>
        <w:spacing w:after="0" w:line="5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ind w:left="1140" w:right="40" w:hanging="484"/>
        <w:spacing w:after="0" w:line="203" w:lineRule="auto"/>
        <w:tabs>
          <w:tab w:leader="none" w:pos="1140" w:val="left"/>
        </w:tabs>
        <w:numPr>
          <w:ilvl w:val="1"/>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200" w:lineRule="exact"/>
        <w:rPr>
          <w:rFonts w:ascii="Times New Roman" w:cs="Times New Roman" w:eastAsia="Times New Roman" w:hAnsi="Times New Roman"/>
          <w:sz w:val="36"/>
          <w:szCs w:val="36"/>
          <w:color w:val="auto"/>
          <w:vertAlign w:val="superscript"/>
        </w:rPr>
      </w:pPr>
    </w:p>
    <w:p>
      <w:pPr>
        <w:ind w:left="1140" w:right="240" w:hanging="484"/>
        <w:spacing w:after="0" w:line="27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9"/>
          <w:szCs w:val="29"/>
          <w:color w:val="auto"/>
          <w:vertAlign w:val="superscript"/>
        </w:rPr>
        <w:t>18</w:t>
      </w:r>
    </w:p>
    <w:p>
      <w:pPr>
        <w:spacing w:after="0" w:line="42"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Oversight</w:t>
      </w:r>
    </w:p>
    <w:p>
      <w:pPr>
        <w:spacing w:after="0" w:line="227" w:lineRule="exact"/>
        <w:rPr>
          <w:rFonts w:ascii="Times New Roman" w:cs="Times New Roman" w:eastAsia="Times New Roman" w:hAnsi="Times New Roman"/>
          <w:sz w:val="18"/>
          <w:szCs w:val="18"/>
          <w:color w:val="auto"/>
        </w:rPr>
      </w:pPr>
    </w:p>
    <w:p>
      <w:pPr>
        <w:ind w:left="1140" w:right="420" w:hanging="484"/>
        <w:spacing w:after="0" w:line="282"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w:t>
      </w:r>
    </w:p>
    <w:p>
      <w:pPr>
        <w:spacing w:after="0" w:line="27" w:lineRule="exact"/>
        <w:rPr>
          <w:rFonts w:ascii="Times New Roman" w:cs="Times New Roman" w:eastAsia="Times New Roman" w:hAnsi="Times New Roman"/>
          <w:sz w:val="18"/>
          <w:szCs w:val="18"/>
          <w:color w:val="auto"/>
        </w:rPr>
      </w:pPr>
    </w:p>
    <w:p>
      <w:pPr>
        <w:jc w:val="both"/>
        <w:ind w:left="1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185" w:lineRule="exact"/>
        <w:rPr>
          <w:rFonts w:ascii="Times New Roman" w:cs="Times New Roman" w:eastAsia="Times New Roman" w:hAnsi="Times New Roman"/>
          <w:sz w:val="18"/>
          <w:szCs w:val="18"/>
          <w:color w:val="auto"/>
        </w:rPr>
      </w:pPr>
    </w:p>
    <w:p>
      <w:pPr>
        <w:ind w:left="1140" w:right="60" w:hanging="484"/>
        <w:spacing w:after="0" w:line="261"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179"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071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6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Affiliated Entities may adopt shared Co-Investment Policies.</w:t>
      </w:r>
    </w:p>
    <w:p>
      <w:pPr>
        <w:spacing w:after="0" w:line="163" w:lineRule="exact"/>
        <w:rPr>
          <w:rFonts w:ascii="Times New Roman" w:cs="Times New Roman" w:eastAsia="Times New Roman" w:hAnsi="Times New Roman"/>
          <w:sz w:val="30"/>
          <w:szCs w:val="30"/>
          <w:color w:val="auto"/>
          <w:vertAlign w:val="superscript"/>
        </w:rPr>
      </w:pPr>
    </w:p>
    <w:p>
      <w:pPr>
        <w:ind w:left="660" w:hanging="652"/>
        <w:spacing w:after="0" w:line="186" w:lineRule="auto"/>
        <w:tabs>
          <w:tab w:leader="none" w:pos="66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transfer or other disposition of an interest in a security of an issuer.</w:t>
      </w:r>
    </w:p>
    <w:p>
      <w:pPr>
        <w:spacing w:after="0" w:line="194" w:lineRule="exact"/>
        <w:rPr>
          <w:rFonts w:ascii="Times New Roman" w:cs="Times New Roman" w:eastAsia="Times New Roman" w:hAnsi="Times New Roman"/>
          <w:sz w:val="30"/>
          <w:szCs w:val="30"/>
          <w:color w:val="auto"/>
          <w:vertAlign w:val="superscript"/>
        </w:rPr>
      </w:pPr>
    </w:p>
    <w:p>
      <w:pPr>
        <w:ind w:left="660" w:right="20" w:hanging="652"/>
        <w:spacing w:after="0" w:line="220" w:lineRule="auto"/>
        <w:tabs>
          <w:tab w:leader="none" w:pos="66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9" w:name="page10"/>
    <w:bookmarkEnd w:id="9"/>
    <w:p>
      <w:pPr>
        <w:ind w:left="1140" w:right="300"/>
        <w:spacing w:after="0" w:line="282" w:lineRule="auto"/>
        <w:rPr>
          <w:sz w:val="20"/>
          <w:szCs w:val="20"/>
          <w:color w:val="auto"/>
        </w:rPr>
      </w:pPr>
      <w:r>
        <w:rPr>
          <w:rFonts w:ascii="Times New Roman" w:cs="Times New Roman" w:eastAsia="Times New Roman" w:hAnsi="Times New Roman"/>
          <w:sz w:val="18"/>
          <w:szCs w:val="18"/>
          <w:color w:val="auto"/>
        </w:rPr>
        <w:t>Fund’s participation in the co-investment program and any material changes in the Affiliated Entities’ participation in the co-investment program, including changes to the Affiliated Entities’ Co-Investment Policies.</w:t>
      </w:r>
    </w:p>
    <w:p>
      <w:pPr>
        <w:spacing w:after="0" w:line="162" w:lineRule="exact"/>
        <w:rPr>
          <w:sz w:val="20"/>
          <w:szCs w:val="20"/>
          <w:color w:val="auto"/>
        </w:rPr>
      </w:pPr>
    </w:p>
    <w:p>
      <w:pPr>
        <w:ind w:left="1140" w:right="180" w:hanging="484"/>
        <w:spacing w:after="0" w:line="266" w:lineRule="auto"/>
        <w:tabs>
          <w:tab w:leader="none" w:pos="11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173" w:lineRule="exact"/>
        <w:rPr>
          <w:rFonts w:ascii="Times New Roman" w:cs="Times New Roman" w:eastAsia="Times New Roman" w:hAnsi="Times New Roman"/>
          <w:sz w:val="18"/>
          <w:szCs w:val="18"/>
          <w:color w:val="auto"/>
        </w:rPr>
      </w:pPr>
    </w:p>
    <w:p>
      <w:pPr>
        <w:jc w:val="both"/>
        <w:ind w:right="40" w:firstLine="332"/>
        <w:spacing w:after="0" w:line="295" w:lineRule="auto"/>
        <w:tabs>
          <w:tab w:leader="none" w:pos="77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Recordkeeping</w:t>
      </w:r>
      <w:r>
        <w:rPr>
          <w:rFonts w:ascii="Times New Roman" w:cs="Times New Roman" w:eastAsia="Times New Roman" w:hAnsi="Times New Roman"/>
          <w:sz w:val="17"/>
          <w:szCs w:val="17"/>
          <w:color w:val="auto"/>
        </w:rPr>
        <w:t>. All information presented to the Board pursuant to the order will be kept for the life of the Regulated Fund and at least two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8"/>
          <w:szCs w:val="28"/>
          <w:color w:val="auto"/>
          <w:vertAlign w:val="superscript"/>
        </w:rPr>
        <w:t>19</w:t>
      </w:r>
    </w:p>
    <w:p>
      <w:pPr>
        <w:spacing w:after="0" w:line="30" w:lineRule="exact"/>
        <w:rPr>
          <w:rFonts w:ascii="Times New Roman" w:cs="Times New Roman" w:eastAsia="Times New Roman" w:hAnsi="Times New Roman"/>
          <w:sz w:val="17"/>
          <w:szCs w:val="17"/>
          <w:color w:val="auto"/>
        </w:rPr>
      </w:pPr>
    </w:p>
    <w:p>
      <w:pPr>
        <w:ind w:right="160" w:firstLine="332"/>
        <w:spacing w:after="0" w:line="282" w:lineRule="auto"/>
        <w:tabs>
          <w:tab w:leader="none" w:pos="7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STATEMENT IN SUPPORT OF RELIEF REQUESTED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58" w:lineRule="exact"/>
        <w:rPr>
          <w:sz w:val="20"/>
          <w:szCs w:val="20"/>
          <w:color w:val="auto"/>
        </w:rPr>
      </w:pPr>
    </w:p>
    <w:p>
      <w:pPr>
        <w:ind w:left="660" w:hanging="484"/>
        <w:spacing w:after="0"/>
        <w:tabs>
          <w:tab w:leader="none" w:pos="6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Potential Benefits to the Regulated Funds and their Shareholders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188" w:lineRule="exact"/>
        <w:rPr>
          <w:sz w:val="20"/>
          <w:szCs w:val="20"/>
          <w:color w:val="auto"/>
        </w:rPr>
      </w:pPr>
    </w:p>
    <w:p>
      <w:pPr>
        <w:ind w:left="660" w:hanging="484"/>
        <w:spacing w:after="0"/>
        <w:tabs>
          <w:tab w:leader="none" w:pos="6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Shareholder Protections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0712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07" w:lineRule="exact"/>
        <w:rPr>
          <w:sz w:val="20"/>
          <w:szCs w:val="20"/>
          <w:color w:val="auto"/>
        </w:rPr>
      </w:pPr>
    </w:p>
    <w:p>
      <w:pPr>
        <w:ind w:left="660" w:right="60" w:hanging="652"/>
        <w:spacing w:after="0" w:line="210" w:lineRule="auto"/>
        <w:tabs>
          <w:tab w:leader="none" w:pos="66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PRECEDENTS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w:t>
      </w:r>
    </w:p>
    <w:p>
      <w:pPr>
        <w:spacing w:after="0" w:line="27" w:lineRule="exact"/>
        <w:rPr>
          <w:sz w:val="20"/>
          <w:szCs w:val="20"/>
          <w:color w:val="auto"/>
        </w:rPr>
      </w:pPr>
    </w:p>
    <w:p>
      <w:pPr>
        <w:jc w:val="both"/>
        <w:ind w:right="80"/>
        <w:spacing w:after="0" w:line="221" w:lineRule="auto"/>
        <w:rPr>
          <w:sz w:val="20"/>
          <w:szCs w:val="20"/>
          <w:color w:val="auto"/>
        </w:rPr>
      </w:pPr>
      <w:r>
        <w:rPr>
          <w:rFonts w:ascii="Times New Roman" w:cs="Times New Roman" w:eastAsia="Times New Roman" w:hAnsi="Times New Roman"/>
          <w:sz w:val="18"/>
          <w:szCs w:val="18"/>
          <w:color w:val="auto"/>
        </w:rPr>
        <w:t>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19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PROCEDURAL MATTERS</w:t>
      </w:r>
    </w:p>
    <w:p>
      <w:pPr>
        <w:spacing w:after="0" w:line="225" w:lineRule="exact"/>
        <w:rPr>
          <w:sz w:val="20"/>
          <w:szCs w:val="20"/>
          <w:color w:val="auto"/>
        </w:rPr>
      </w:pPr>
    </w:p>
    <w:p>
      <w:pPr>
        <w:ind w:left="660" w:hanging="484"/>
        <w:spacing w:after="0"/>
        <w:tabs>
          <w:tab w:leader="none" w:pos="66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Communications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Christian Lymn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Aaron Ellias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 Willow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Menlo Park, California 94025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(650) 761-7789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Christopher P. Healey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1050 17th Street NW</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0"/>
          <w:szCs w:val="20"/>
          <w:color w:val="auto"/>
        </w:rPr>
      </w:pPr>
    </w:p>
    <w:p>
      <w:pPr>
        <w:ind w:left="5580" w:hanging="434"/>
        <w:spacing w:after="0"/>
        <w:tabs>
          <w:tab w:leader="none" w:pos="55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962-7000</w:t>
      </w:r>
    </w:p>
    <w:p>
      <w:pPr>
        <w:spacing w:after="0" w:line="9" w:lineRule="exact"/>
        <w:rPr>
          <w:rFonts w:ascii="Times New Roman" w:cs="Times New Roman" w:eastAsia="Times New Roman" w:hAnsi="Times New Roman"/>
          <w:sz w:val="18"/>
          <w:szCs w:val="18"/>
          <w:b w:val="1"/>
          <w:bCs w:val="1"/>
          <w:color w:val="auto"/>
        </w:rPr>
      </w:pPr>
    </w:p>
    <w:p>
      <w:pPr>
        <w:ind w:left="4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Christopher.Healey@davispolk.com</w:t>
      </w: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Oran Ebel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0"/>
          <w:szCs w:val="20"/>
          <w:color w:val="auto"/>
        </w:rPr>
      </w:pPr>
    </w:p>
    <w:p>
      <w:pPr>
        <w:ind w:left="5580" w:hanging="434"/>
        <w:spacing w:after="0"/>
        <w:tabs>
          <w:tab w:leader="none" w:pos="55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450-4000</w:t>
      </w:r>
    </w:p>
    <w:p>
      <w:pPr>
        <w:spacing w:after="0" w:line="9" w:lineRule="exact"/>
        <w:rPr>
          <w:rFonts w:ascii="Times New Roman" w:cs="Times New Roman" w:eastAsia="Times New Roman" w:hAnsi="Times New Roman"/>
          <w:sz w:val="18"/>
          <w:szCs w:val="18"/>
          <w:b w:val="1"/>
          <w:bCs w:val="1"/>
          <w:color w:val="auto"/>
        </w:rPr>
      </w:pPr>
    </w:p>
    <w:p>
      <w:pPr>
        <w:ind w:left="4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Oran.Ebel@davispolk.com</w:t>
      </w:r>
    </w:p>
    <w:p>
      <w:pPr>
        <w:spacing w:after="0" w:line="203" w:lineRule="exact"/>
        <w:rPr>
          <w:sz w:val="20"/>
          <w:szCs w:val="20"/>
          <w:color w:val="auto"/>
        </w:rPr>
      </w:pPr>
    </w:p>
    <w:p>
      <w:pPr>
        <w:ind w:left="640" w:hanging="464"/>
        <w:spacing w:after="0"/>
        <w:tabs>
          <w:tab w:leader="none" w:pos="6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Authorizations</w:t>
      </w:r>
    </w:p>
    <w:p>
      <w:pPr>
        <w:spacing w:after="0" w:line="229" w:lineRule="exact"/>
        <w:rPr>
          <w:sz w:val="20"/>
          <w:szCs w:val="20"/>
          <w:color w:val="auto"/>
        </w:rPr>
      </w:pPr>
    </w:p>
    <w:p>
      <w:pPr>
        <w:jc w:val="center"/>
        <w:ind w:right="20"/>
        <w:spacing w:after="0" w:line="312" w:lineRule="auto"/>
        <w:rPr>
          <w:sz w:val="20"/>
          <w:szCs w:val="20"/>
          <w:color w:val="auto"/>
        </w:rPr>
      </w:pPr>
      <w:r>
        <w:rPr>
          <w:rFonts w:ascii="Times New Roman" w:cs="Times New Roman" w:eastAsia="Times New Roman" w:hAnsi="Times New Roman"/>
          <w:sz w:val="17"/>
          <w:szCs w:val="17"/>
          <w:color w:val="auto"/>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spacing w:after="0" w:line="14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10712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60" w:hanging="652"/>
        <w:spacing w:after="0" w:line="225" w:lineRule="auto"/>
        <w:tabs>
          <w:tab w:leader="none" w:pos="66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FS Credit Opportunities Corp.,</w:t>
      </w:r>
      <w:r>
        <w:rPr>
          <w:rFonts w:ascii="Times New Roman" w:cs="Times New Roman" w:eastAsia="Times New Roman" w:hAnsi="Times New Roman"/>
          <w:sz w:val="18"/>
          <w:szCs w:val="18"/>
          <w:i w:val="1"/>
          <w:iCs w:val="1"/>
          <w:color w:val="auto"/>
        </w:rPr>
        <w:t xml:space="preserve"> et al. </w:t>
      </w:r>
      <w:r>
        <w:rPr>
          <w:rFonts w:ascii="Times New Roman" w:cs="Times New Roman" w:eastAsia="Times New Roman" w:hAnsi="Times New Roman"/>
          <w:sz w:val="18"/>
          <w:szCs w:val="18"/>
          <w:color w:val="auto"/>
        </w:rPr>
        <w:t>(File No. 812-15706), Release No. IC-35520 (April 3, 2025) (notice), Release No. IC-35561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29, 2025) (order); Sixth Street Specialty Lending,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812-15729), Release No. IC-35531 (April 10, 2025) (notice), Release No. IC-35570 (May 6, 2025) (order); Blue Owl Capital Corporation,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812-15715), Release No. IC-35530 (April 9, 2025) (notice), Release No. IC-35573 (May 6, 2025) (order); BlackRock Growth Equity Fund LP,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812-15712), Release No. IC-35525 (April 8, 2025) (notice), Release No. IC-35572 (May 6, 2025) (order).</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Applicants have caused this Application to be duly signed on their behalf on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III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LIGHTSPEED FUND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DE,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Investment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ASSET MANAGEMENT,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Stephanie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Stephanie Guild</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ROBINHOOD MARKETS,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Shiv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Shiv Verma</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EUROPE, UAB</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Laurynas Spangevičius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Laurynas Spangevičius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ASSETS (JERSEY) LIMITED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Jordan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Jordan Sinclair</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3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VERIFICATION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states that he or she has duly executed the attached Application for an Order under Sections 17(d) and 57(i) of the Investment Company Act of 1940, as amended, and Rule 17d-1 thereunder, for and on behalf of the Applicants, as the case may be, that he or she holds the office with such entity as indicated below and that all actions by the officers, directors, and other bodies necessary to authorize the undersigned to execute and file such Application have been taken. The undersigned further says that he or she is familiar with the instrument and the contents thereof, and that the facts set forth therein are true to the best of his or her knowledge, information, and belief.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FUND III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LIGHTSPEED FUND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VENTURES DE,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Sarah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Sarah Pinto</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Investment Officer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ROBINHOOD ASSET MANAGEMENT,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Stephanie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Stephanie Guild</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MARKETS,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Shiv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Shiv Verma</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EUROPE, UAB</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Laurynas Spangevičius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Laurynas Spangevičius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ROBINHOOD ASSETS (JERSEY) LIMITED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Jordan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Jordan Sinclair</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5" w:name="page16"/>
    <w:bookmarkEnd w:id="15"/>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Proprietary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Robinhood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Robinhood Europe, UAB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Robinhood Assets (Jersey)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377190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576"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Robinhood Ventures Fund I (the “Fund”)</w:t>
      </w:r>
    </w:p>
    <w:p>
      <w:pPr>
        <w:spacing w:after="0" w:line="20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deems it advisable and in the best interest of the Fund to file with the U.S.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spacing w:after="0" w:line="176"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an Application for an order of Exemption, substantially in the form attached hereto as Exhibit A, and any amendments thereto, pursuant to Section 17(d) of the 1940 Act; and be it further</w:t>
      </w:r>
    </w:p>
    <w:p>
      <w:pPr>
        <w:spacing w:after="0" w:line="171" w:lineRule="exact"/>
        <w:rPr>
          <w:sz w:val="20"/>
          <w:szCs w:val="20"/>
          <w:color w:val="auto"/>
        </w:rPr>
      </w:pPr>
    </w:p>
    <w:p>
      <w:pPr>
        <w:jc w:val="both"/>
        <w:ind w:right="2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officers of the Fund be, and each of them hereby is, authorized and directed to take such further action and execute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as such officer or officers shall deem necessary or advisable in order to effectuate the intent of the foregoing resolution; and be it further</w:t>
      </w:r>
    </w:p>
    <w:p>
      <w:pPr>
        <w:spacing w:after="0" w:line="132" w:lineRule="exact"/>
        <w:rPr>
          <w:sz w:val="20"/>
          <w:szCs w:val="20"/>
          <w:color w:val="auto"/>
        </w:rPr>
      </w:pPr>
    </w:p>
    <w:p>
      <w:pPr>
        <w:ind w:right="4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any and all actions previously taken by the Fund or any of its trustees or officers in connection with the actions contemplated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resolutions be, and each of them hereby is, ratified, confirmed, approved and adopted in all respects as and for the acts and deeds of the Fund.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January 21,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Initial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Robinhood Ventures Fund II (the “Fund”)</w:t>
      </w:r>
    </w:p>
    <w:p>
      <w:pPr>
        <w:spacing w:after="0" w:line="20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Initial Trustee deems it advisable and in the best interest of the Fund to file with the U.S.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spacing w:after="0" w:line="176"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an Application for an order of Exemption, substantially in the form attached hereto as Exhibit A, and any amendments thereto, pursuant to Section 17(d) of the 1940 Act; and be it further</w:t>
      </w:r>
    </w:p>
    <w:p>
      <w:pPr>
        <w:spacing w:after="0" w:line="171" w:lineRule="exact"/>
        <w:rPr>
          <w:sz w:val="20"/>
          <w:szCs w:val="20"/>
          <w:color w:val="auto"/>
        </w:rPr>
      </w:pPr>
    </w:p>
    <w:p>
      <w:pPr>
        <w:jc w:val="both"/>
        <w:ind w:right="2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officers of the Fund be, and each of them hereby is, authorized and directed to take such further action and execute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as such officer or officers shall deem necessary or advisable in order to effectuate the intent of the foregoing resolution; and be it further</w:t>
      </w:r>
    </w:p>
    <w:p>
      <w:pPr>
        <w:spacing w:after="0" w:line="132" w:lineRule="exact"/>
        <w:rPr>
          <w:sz w:val="20"/>
          <w:szCs w:val="20"/>
          <w:color w:val="auto"/>
        </w:rPr>
      </w:pPr>
    </w:p>
    <w:p>
      <w:pPr>
        <w:ind w:right="4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any and all actions previously taken by the Fund or any of its trustees or officers in connection with the actions contemplated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resolutions be, and each of them hereby is, ratified, confirmed, approved and adopted in all respects as and for the acts and deeds of the Fund.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May 19,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Initial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Robinhood Ventures Fund III (the “Fund”)</w:t>
      </w:r>
    </w:p>
    <w:p>
      <w:pPr>
        <w:spacing w:after="0" w:line="20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Initial Trustee deems it advisable and in the best interest of the Fund to file with the U.S.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spacing w:after="0" w:line="176"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an Application for an order of Exemption, substantially in the form attached hereto as Exhibit A, and any amendments thereto, pursuant to Section 17(d) of the 1940 Act; and be it further</w:t>
      </w:r>
    </w:p>
    <w:p>
      <w:pPr>
        <w:spacing w:after="0" w:line="171" w:lineRule="exact"/>
        <w:rPr>
          <w:sz w:val="20"/>
          <w:szCs w:val="20"/>
          <w:color w:val="auto"/>
        </w:rPr>
      </w:pPr>
    </w:p>
    <w:p>
      <w:pPr>
        <w:jc w:val="both"/>
        <w:ind w:right="2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officers of the Fund be, and each of them hereby is, authorized and directed to take such further action and execute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as such officer or officers shall deem necessary or advisable in order to effectuate the intent of the foregoing resolution; and be it further</w:t>
      </w:r>
    </w:p>
    <w:p>
      <w:pPr>
        <w:spacing w:after="0" w:line="132" w:lineRule="exact"/>
        <w:rPr>
          <w:sz w:val="20"/>
          <w:szCs w:val="20"/>
          <w:color w:val="auto"/>
        </w:rPr>
      </w:pPr>
    </w:p>
    <w:p>
      <w:pPr>
        <w:ind w:right="4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any and all actions previously taken by the Fund or any of its trustees or officers in connection with the actions contemplated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resolutions be, and each of them hereby is, ratified, confirmed, approved and adopted in all respects as and for the acts and deeds of the Fund.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June 24,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Initial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Robinhood Ventures Lightspeed Fund (the “Fund”)</w:t>
      </w:r>
    </w:p>
    <w:p>
      <w:pPr>
        <w:spacing w:after="0" w:line="20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Initial Trustee deems it advisable and in the best interest of the Fund to file with the U.S.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spacing w:after="0" w:line="176"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an Application for an order of Exemption, substantially in the form attached hereto as Exhibit A, and any amendments thereto, pursuant to Section 17(d) of the 1940 Act; and be it further</w:t>
      </w:r>
    </w:p>
    <w:p>
      <w:pPr>
        <w:spacing w:after="0" w:line="171" w:lineRule="exact"/>
        <w:rPr>
          <w:sz w:val="20"/>
          <w:szCs w:val="20"/>
          <w:color w:val="auto"/>
        </w:rPr>
      </w:pPr>
    </w:p>
    <w:p>
      <w:pPr>
        <w:jc w:val="both"/>
        <w:ind w:right="2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officers of the Fund be, and each of them hereby is, authorized and directed to take such further action and execute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as such officer or officers shall deem necessary or advisable in order to effectuate the intent of the foregoing resolution; and be it further</w:t>
      </w:r>
    </w:p>
    <w:p>
      <w:pPr>
        <w:spacing w:after="0" w:line="132" w:lineRule="exact"/>
        <w:rPr>
          <w:sz w:val="20"/>
          <w:szCs w:val="20"/>
          <w:color w:val="auto"/>
        </w:rPr>
      </w:pPr>
    </w:p>
    <w:p>
      <w:pPr>
        <w:ind w:right="4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any and all actions previously taken by the Fund or any of its trustees or officers in connection with the actions contemplated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resolutions be, and each of them hereby is, ratified, confirmed, approved and adopted in all respects as and for the acts and deeds of the Fund.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June 24,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202"/>
    </w:lvl>
  </w:abstractNum>
  <w:abstractNum w:abstractNumId="1">
    <w:nsid w:val="628C895D"/>
    <w:multiLevelType w:val="hybridMultilevel"/>
    <w:lvl w:ilvl="0">
      <w:lvlJc w:val="left"/>
      <w:lvlText w:val="(%1)"/>
      <w:numFmt w:val="decimal"/>
      <w:start w:val="212"/>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2"/>
      <w:numFmt w:val="bullet"/>
      <w:start w:val="1"/>
    </w:lvl>
  </w:abstractNum>
  <w:abstractNum w:abstractNumId="4">
    <w:nsid w:val="2443A858"/>
    <w:multiLevelType w:val="hybridMultilevel"/>
    <w:lvl w:ilvl="0">
      <w:lvlJc w:val="left"/>
      <w:lvlText w:val="3"/>
      <w:numFmt w:val="bullet"/>
      <w:start w:val="1"/>
    </w:lvl>
  </w:abstractNum>
  <w:abstractNum w:abstractNumId="5">
    <w:nsid w:val="2D1D5AE9"/>
    <w:multiLevelType w:val="hybridMultilevel"/>
    <w:lvl w:ilvl="0">
      <w:lvlJc w:val="left"/>
      <w:lvlText w:val="4"/>
      <w:numFmt w:val="bullet"/>
      <w:start w:val="1"/>
    </w:lvl>
  </w:abstractNum>
  <w:abstractNum w:abstractNumId="6">
    <w:nsid w:val="6763845E"/>
    <w:multiLevelType w:val="hybridMultilevel"/>
    <w:lvl w:ilvl="0">
      <w:lvlJc w:val="left"/>
      <w:lvlText w:val="5"/>
      <w:numFmt w:val="bullet"/>
      <w:start w:val="1"/>
    </w:lvl>
  </w:abstractNum>
  <w:abstractNum w:abstractNumId="7">
    <w:nsid w:val="75A2A8D4"/>
    <w:multiLevelType w:val="hybridMultilevel"/>
    <w:lvl w:ilvl="0">
      <w:lvlJc w:val="left"/>
      <w:lvlText w:val="6"/>
      <w:numFmt w:val="bullet"/>
      <w:start w:val="1"/>
    </w:lvl>
  </w:abstractNum>
  <w:abstractNum w:abstractNumId="8">
    <w:nsid w:val="8EDBDAB"/>
    <w:multiLevelType w:val="hybridMultilevel"/>
    <w:lvl w:ilvl="0">
      <w:lvlJc w:val="left"/>
      <w:lvlText w:val="7"/>
      <w:numFmt w:val="bullet"/>
      <w:start w:val="1"/>
    </w:lvl>
  </w:abstractNum>
  <w:abstractNum w:abstractNumId="9">
    <w:nsid w:val="79838CB2"/>
    <w:multiLevelType w:val="hybridMultilevel"/>
    <w:lvl w:ilvl="0">
      <w:lvlJc w:val="left"/>
      <w:lvlText w:val="8"/>
      <w:numFmt w:val="bullet"/>
      <w:start w:val="1"/>
    </w:lvl>
  </w:abstractNum>
  <w:abstractNum w:abstractNumId="10">
    <w:nsid w:val="4353D0CD"/>
    <w:multiLevelType w:val="hybridMultilevel"/>
    <w:lvl w:ilvl="0">
      <w:lvlJc w:val="left"/>
      <w:lvlText w:val="%1."/>
      <w:numFmt w:val="upperLetter"/>
      <w:start w:val="35"/>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1."/>
      <w:numFmt w:val="upperLetter"/>
      <w:start w:val="2"/>
    </w:lvl>
  </w:abstractNum>
  <w:abstractNum w:abstractNumId="13">
    <w:nsid w:val="54E49EB4"/>
    <w:multiLevelType w:val="hybridMultilevel"/>
    <w:lvl w:ilvl="0">
      <w:lvlJc w:val="left"/>
      <w:lvlText w:val="%1."/>
      <w:numFmt w:val="upperLetter"/>
      <w:start w:val="3"/>
    </w:lvl>
  </w:abstractNum>
  <w:abstractNum w:abstractNumId="14">
    <w:nsid w:val="71F32454"/>
    <w:multiLevelType w:val="hybridMultilevel"/>
    <w:lvl w:ilvl="0">
      <w:lvlJc w:val="left"/>
      <w:lvlText w:val="9"/>
      <w:numFmt w:val="bullet"/>
      <w:start w:val="1"/>
    </w:lvl>
  </w:abstractNum>
  <w:abstractNum w:abstractNumId="15">
    <w:nsid w:val="2CA88611"/>
    <w:multiLevelType w:val="hybridMultilevel"/>
    <w:lvl w:ilvl="0">
      <w:lvlJc w:val="left"/>
      <w:lvlText w:val="%1."/>
      <w:numFmt w:val="upperLetter"/>
      <w:start w:val="4"/>
    </w:lvl>
  </w:abstractNum>
  <w:abstractNum w:abstractNumId="16">
    <w:nsid w:val="836C40E"/>
    <w:multiLevelType w:val="hybridMultilevel"/>
    <w:lvl w:ilvl="0">
      <w:lvlJc w:val="left"/>
      <w:lvlText w:val="%1."/>
      <w:numFmt w:val="upperLetter"/>
      <w:start w:val="5"/>
    </w:lvl>
  </w:abstractNum>
  <w:abstractNum w:abstractNumId="17">
    <w:nsid w:val="2901D82"/>
    <w:multiLevelType w:val="hybridMultilevel"/>
    <w:lvl w:ilvl="0">
      <w:lvlJc w:val="left"/>
      <w:lvlText w:val="%1."/>
      <w:numFmt w:val="upperLetter"/>
      <w:start w:val="6"/>
    </w:lvl>
  </w:abstractNum>
  <w:abstractNum w:abstractNumId="18">
    <w:nsid w:val="3A95F874"/>
    <w:multiLevelType w:val="hybridMultilevel"/>
    <w:lvl w:ilvl="0">
      <w:lvlJc w:val="left"/>
      <w:lvlText w:val="%1."/>
      <w:numFmt w:val="upperLetter"/>
      <w:start w:val="61"/>
    </w:lvl>
  </w:abstractNum>
  <w:abstractNum w:abstractNumId="19">
    <w:nsid w:val="8138641"/>
    <w:multiLevelType w:val="hybridMultilevel"/>
    <w:lvl w:ilvl="0">
      <w:lvlJc w:val="left"/>
      <w:lvlText w:val="%1."/>
      <w:numFmt w:val="upperLetter"/>
      <w:start w:val="1"/>
    </w:lvl>
  </w:abstractNum>
  <w:abstractNum w:abstractNumId="20">
    <w:nsid w:val="1E7FF521"/>
    <w:multiLevelType w:val="hybridMultilevel"/>
    <w:lvl w:ilvl="0">
      <w:lvlJc w:val="left"/>
      <w:lvlText w:val="%1."/>
      <w:numFmt w:val="upperLetter"/>
      <w:start w:val="2"/>
    </w:lvl>
  </w:abstractNum>
  <w:abstractNum w:abstractNumId="21">
    <w:nsid w:val="7C3DBD3D"/>
    <w:multiLevelType w:val="hybridMultilevel"/>
    <w:lvl w:ilvl="0">
      <w:lvlJc w:val="left"/>
      <w:lvlText w:val="%1."/>
      <w:numFmt w:val="upperLetter"/>
      <w:start w:val="3"/>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0"/>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1."/>
      <w:numFmt w:val="decimal"/>
      <w:start w:val="3"/>
    </w:lvl>
  </w:abstractNum>
  <w:abstractNum w:abstractNumId="26">
    <w:nsid w:val="3006C83E"/>
    <w:multiLevelType w:val="hybridMultilevel"/>
    <w:lvl w:ilvl="0">
      <w:lvlJc w:val="left"/>
      <w:lvlText w:val="%1"/>
      <w:numFmt w:val="decimal"/>
      <w:start w:val="11"/>
    </w:lvl>
  </w:abstractNum>
  <w:abstractNum w:abstractNumId="27">
    <w:nsid w:val="614FD4A1"/>
    <w:multiLevelType w:val="hybridMultilevel"/>
    <w:lvl w:ilvl="0">
      <w:lvlJc w:val="left"/>
      <w:lvlText w:val="%1."/>
      <w:numFmt w:val="decimal"/>
      <w:start w:val="5"/>
    </w:lvl>
    <w:lvl w:ilvl="1">
      <w:lvlJc w:val="left"/>
      <w:lvlText w:val="(%2)"/>
      <w:numFmt w:val="lowerLetter"/>
      <w:start w:val="1"/>
    </w:lvl>
  </w:abstractNum>
  <w:abstractNum w:abstractNumId="28">
    <w:nsid w:val="419AC241"/>
    <w:multiLevelType w:val="hybridMultilevel"/>
    <w:lvl w:ilvl="0">
      <w:lvlJc w:val="left"/>
      <w:lvlText w:val="%1"/>
      <w:numFmt w:val="decimal"/>
      <w:start w:val="16"/>
    </w:lvl>
  </w:abstractNum>
  <w:abstractNum w:abstractNumId="29">
    <w:nsid w:val="5577F8E1"/>
    <w:multiLevelType w:val="hybridMultilevel"/>
    <w:lvl w:ilvl="0">
      <w:lvlJc w:val="left"/>
      <w:lvlText w:val="%1"/>
      <w:numFmt w:val="decimal"/>
      <w:start w:val="1"/>
    </w:lvl>
    <w:lvl w:ilvl="1">
      <w:lvlJc w:val="left"/>
      <w:lvlText w:val="(%2)"/>
      <w:numFmt w:val="lowerLetter"/>
      <w:start w:val="5"/>
    </w:lvl>
  </w:abstractNum>
  <w:abstractNum w:abstractNumId="30">
    <w:nsid w:val="440BADFC"/>
    <w:multiLevelType w:val="hybridMultilevel"/>
    <w:lvl w:ilvl="0">
      <w:lvlJc w:val="left"/>
      <w:lvlText w:val="%1."/>
      <w:numFmt w:val="decimal"/>
      <w:start w:val="8"/>
    </w:lvl>
    <w:lvl w:ilvl="1">
      <w:lvlJc w:val="left"/>
      <w:lvlText w:val="%2"/>
      <w:numFmt w:val="lowerLetter"/>
      <w:start w:val="1"/>
    </w:lvl>
  </w:abstractNum>
  <w:abstractNum w:abstractNumId="31">
    <w:nsid w:val="5072367"/>
    <w:multiLevelType w:val="hybridMultilevel"/>
    <w:lvl w:ilvl="0">
      <w:lvlJc w:val="left"/>
      <w:lvlText w:val="%1."/>
      <w:numFmt w:val="upperLetter"/>
      <w:start w:val="1"/>
    </w:lvl>
  </w:abstractNum>
  <w:abstractNum w:abstractNumId="32">
    <w:nsid w:val="3804823E"/>
    <w:multiLevelType w:val="hybridMultilevel"/>
    <w:lvl w:ilvl="0">
      <w:lvlJc w:val="left"/>
      <w:lvlText w:val="%1."/>
      <w:numFmt w:val="upperLetter"/>
      <w:start w:val="2"/>
    </w:lvl>
  </w:abstractNum>
  <w:abstractNum w:abstractNumId="33">
    <w:nsid w:val="77465F01"/>
    <w:multiLevelType w:val="hybridMultilevel"/>
    <w:lvl w:ilvl="0">
      <w:lvlJc w:val="left"/>
      <w:lvlText w:val="%1"/>
      <w:numFmt w:val="decimal"/>
      <w:start w:val="19"/>
    </w:lvl>
  </w:abstractNum>
  <w:abstractNum w:abstractNumId="34">
    <w:nsid w:val="7724C67E"/>
    <w:multiLevelType w:val="hybridMultilevel"/>
    <w:lvl w:ilvl="0">
      <w:lvlJc w:val="left"/>
      <w:lvlText w:val="%1."/>
      <w:numFmt w:val="upperLetter"/>
      <w:start w:val="22"/>
    </w:lvl>
  </w:abstractNum>
  <w:abstractNum w:abstractNumId="35">
    <w:nsid w:val="5C482A97"/>
    <w:multiLevelType w:val="hybridMultilevel"/>
    <w:lvl w:ilvl="0">
      <w:lvlJc w:val="left"/>
      <w:lvlText w:val="%1."/>
      <w:numFmt w:val="upperLetter"/>
      <w:start w:val="1"/>
    </w:lvl>
  </w:abstractNum>
  <w:abstractNum w:abstractNumId="36">
    <w:nsid w:val="2463B9EA"/>
    <w:multiLevelType w:val="hybridMultilevel"/>
    <w:lvl w:ilvl="0">
      <w:lvlJc w:val="left"/>
      <w:lvlText w:val="(%1)"/>
      <w:numFmt w:val="decimal"/>
      <w:start w:val="202"/>
    </w:lvl>
  </w:abstractNum>
  <w:abstractNum w:abstractNumId="37">
    <w:nsid w:val="5E884ADC"/>
    <w:multiLevelType w:val="hybridMultilevel"/>
    <w:lvl w:ilvl="0">
      <w:lvlJc w:val="left"/>
      <w:lvlText w:val="(%1)"/>
      <w:numFmt w:val="decimal"/>
      <w:start w:val="212"/>
    </w:lvl>
  </w:abstractNum>
  <w:abstractNum w:abstractNumId="38">
    <w:nsid w:val="51EAD36B"/>
    <w:multiLevelType w:val="hybridMultilevel"/>
    <w:lvl w:ilvl="0">
      <w:lvlJc w:val="left"/>
      <w:lvlText w:val="%1."/>
      <w:numFmt w:val="upperLetter"/>
      <w:start w:val="2"/>
    </w:lvl>
  </w:abstractNum>
  <w:abstractNum w:abstractNumId="39">
    <w:nsid w:val="2D517796"/>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2026-10-28T16:01:43Z</dcterms:created>
  <dcterms:modified xsi:type="dcterms:W3CDTF">2026-10-28T16:01:43Z</dcterms:modified>
</cp:coreProperties>
</file>